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D0D3" w14:textId="26F0483C" w:rsidR="0068198B" w:rsidRDefault="0068198B" w:rsidP="0068198B">
      <w:pPr>
        <w:rPr>
          <w:rFonts w:ascii="Verdana" w:hAnsi="Verdana"/>
          <w:color w:val="FFC000" w:themeColor="accent4"/>
        </w:rPr>
      </w:pPr>
      <w:r>
        <w:rPr>
          <w:rFonts w:ascii="Verdana" w:hAnsi="Verdana"/>
          <w:color w:val="FFC000" w:themeColor="accent4"/>
        </w:rPr>
        <w:t xml:space="preserve">Lengua y literatura 2º medio / Unidad 4 / OA3;5;6;11;23 / Actividad </w:t>
      </w:r>
      <w:r>
        <w:rPr>
          <w:rFonts w:ascii="Verdana" w:hAnsi="Verdana"/>
          <w:color w:val="FFC000" w:themeColor="accent4"/>
        </w:rPr>
        <w:t>1</w:t>
      </w:r>
    </w:p>
    <w:p w14:paraId="6B0FEA47" w14:textId="5C9BA6BE" w:rsidR="00AF21BE" w:rsidRDefault="00AF21BE" w:rsidP="0068198B">
      <w:pPr>
        <w:rPr>
          <w:rFonts w:ascii="Verdana" w:hAnsi="Verdana"/>
          <w:color w:val="FFC000" w:themeColor="accent4"/>
        </w:rPr>
      </w:pPr>
    </w:p>
    <w:p w14:paraId="189B27DE" w14:textId="77777777" w:rsidR="00AF21BE" w:rsidRPr="00861DC0" w:rsidRDefault="00AF21BE" w:rsidP="00AF21BE">
      <w:pPr>
        <w:pStyle w:val="Prrafodelista"/>
        <w:numPr>
          <w:ilvl w:val="0"/>
          <w:numId w:val="2"/>
        </w:numPr>
        <w:spacing w:before="240" w:after="360"/>
        <w:ind w:left="357" w:hanging="357"/>
        <w:contextualSpacing w:val="0"/>
        <w:jc w:val="both"/>
        <w:rPr>
          <w:b/>
          <w:lang w:val="en-US"/>
        </w:rPr>
      </w:pPr>
      <w:proofErr w:type="spellStart"/>
      <w:r w:rsidRPr="00861DC0">
        <w:rPr>
          <w:rFonts w:ascii="Verdana" w:eastAsia="Verdana" w:hAnsi="Verdana" w:cs="Verdana"/>
          <w:b/>
          <w:sz w:val="18"/>
          <w:szCs w:val="18"/>
          <w:lang w:val="en-US"/>
        </w:rPr>
        <w:t>Lectura</w:t>
      </w:r>
      <w:proofErr w:type="spellEnd"/>
      <w:r w:rsidRPr="00861DC0">
        <w:rPr>
          <w:rFonts w:ascii="Verdana" w:eastAsia="Verdana" w:hAnsi="Verdana" w:cs="Verdana"/>
          <w:b/>
          <w:sz w:val="18"/>
          <w:szCs w:val="18"/>
          <w:lang w:val="en-US"/>
        </w:rPr>
        <w:t xml:space="preserve"> y </w:t>
      </w:r>
      <w:proofErr w:type="spellStart"/>
      <w:r w:rsidRPr="00861DC0">
        <w:rPr>
          <w:rFonts w:ascii="Verdana" w:eastAsia="Verdana" w:hAnsi="Verdana" w:cs="Verdana"/>
          <w:b/>
          <w:sz w:val="18"/>
          <w:szCs w:val="18"/>
          <w:lang w:val="en-US"/>
        </w:rPr>
        <w:t>análisis</w:t>
      </w:r>
      <w:proofErr w:type="spellEnd"/>
      <w:r w:rsidRPr="00861DC0">
        <w:rPr>
          <w:rFonts w:ascii="Verdana" w:eastAsia="Verdana" w:hAnsi="Verdana" w:cs="Verdana"/>
          <w:b/>
          <w:sz w:val="18"/>
          <w:szCs w:val="18"/>
          <w:lang w:val="en-US"/>
        </w:rPr>
        <w:t xml:space="preserve"> intertextual de </w:t>
      </w:r>
      <w:r w:rsidRPr="00861DC0">
        <w:rPr>
          <w:rFonts w:ascii="Verdana" w:eastAsia="Verdana" w:hAnsi="Verdana" w:cs="Verdana"/>
          <w:b/>
          <w:i/>
          <w:sz w:val="18"/>
          <w:szCs w:val="18"/>
          <w:lang w:val="en-US"/>
        </w:rPr>
        <w:t>Macbeth</w:t>
      </w:r>
      <w:r w:rsidRPr="00861DC0">
        <w:rPr>
          <w:rFonts w:ascii="Verdana" w:eastAsia="Verdana" w:hAnsi="Verdana" w:cs="Verdana"/>
          <w:b/>
          <w:sz w:val="18"/>
          <w:szCs w:val="18"/>
          <w:lang w:val="en-US"/>
        </w:rPr>
        <w:t>, de William Shakespeare</w:t>
      </w:r>
    </w:p>
    <w:p w14:paraId="13553D81" w14:textId="77777777" w:rsidR="00AF21BE" w:rsidRPr="00861DC0" w:rsidRDefault="00AF21BE" w:rsidP="00AF21BE">
      <w:pPr>
        <w:pStyle w:val="Prrafo"/>
      </w:pPr>
      <w:r w:rsidRPr="00861DC0">
        <w:t xml:space="preserve">Como actividad inicial de la unidad, el profesor o la profesora introduce el tema del poder y la ambición mediante el trabajo con el drama shakesperiano </w:t>
      </w:r>
      <w:r w:rsidRPr="00861DC0">
        <w:rPr>
          <w:i/>
        </w:rPr>
        <w:t>Macbeth</w:t>
      </w:r>
      <w:r w:rsidRPr="00861DC0">
        <w:t>, obra que se erige como modelo de los temas tratados en la unidad. Sus personajes principales actúan movilizados por el poder y la ambición, transformándose en referentes universales, o en personajes tipo de dichos conflictos humanos.</w:t>
      </w:r>
    </w:p>
    <w:p w14:paraId="482526C6" w14:textId="77777777" w:rsidR="00AF21BE" w:rsidRPr="00861DC0" w:rsidRDefault="00AF21BE" w:rsidP="00AF21BE">
      <w:pPr>
        <w:pStyle w:val="Prrafo"/>
      </w:pPr>
      <w:r w:rsidRPr="00861DC0">
        <w:t>Se recomienda que los y las estudiantes se reúnan en grupos de tres integrantes y realicen una lectura compartida y en voz alta de los Actos I y II de la obra y, guiados por el o la docente, intercambien ideas sobre los temas del poder y la ambición desarrollados en la misma, y sobre cómo estos influyen en la experiencia humana. Se sugiere considerar para el análisis los siguientes elementos:</w:t>
      </w:r>
    </w:p>
    <w:p w14:paraId="544D5A83" w14:textId="77777777" w:rsidR="00AF21BE" w:rsidRPr="00861DC0" w:rsidRDefault="00AF21BE" w:rsidP="00AF21BE">
      <w:pPr>
        <w:pStyle w:val="Vietacuerpo"/>
        <w:spacing w:line="276" w:lineRule="auto"/>
      </w:pPr>
      <w:r w:rsidRPr="00861DC0">
        <w:t>Acontecimientos en los que se evidencie la ambición desmedida.</w:t>
      </w:r>
    </w:p>
    <w:p w14:paraId="3696329A" w14:textId="77777777" w:rsidR="00AF21BE" w:rsidRPr="00861DC0" w:rsidRDefault="00AF21BE" w:rsidP="00AF21BE">
      <w:pPr>
        <w:pStyle w:val="Vietacuerpo"/>
        <w:spacing w:line="276" w:lineRule="auto"/>
      </w:pPr>
      <w:r w:rsidRPr="00861DC0">
        <w:t>Personajes y sus diferentes representaciones del poder.</w:t>
      </w:r>
    </w:p>
    <w:p w14:paraId="3B1FFDB6" w14:textId="77777777" w:rsidR="00AF21BE" w:rsidRPr="00861DC0" w:rsidRDefault="00AF21BE" w:rsidP="00AF21BE">
      <w:pPr>
        <w:pStyle w:val="Vietacuerpo"/>
        <w:spacing w:line="276" w:lineRule="auto"/>
      </w:pPr>
      <w:r w:rsidRPr="00861DC0">
        <w:t>Profecías de las brujas y sentido del destino inexorable.</w:t>
      </w:r>
    </w:p>
    <w:p w14:paraId="5554F8B2" w14:textId="77777777" w:rsidR="00AF21BE" w:rsidRPr="00861DC0" w:rsidRDefault="00AF21BE" w:rsidP="00AF21BE">
      <w:pPr>
        <w:pStyle w:val="Vietacuerpo"/>
        <w:spacing w:line="276" w:lineRule="auto"/>
      </w:pPr>
      <w:r w:rsidRPr="00861DC0">
        <w:t>Rol y visión de la mujer en la obra (las brujas y Lady Macbeth).</w:t>
      </w:r>
    </w:p>
    <w:p w14:paraId="37D5ACBE" w14:textId="77777777" w:rsidR="00AF21BE" w:rsidRPr="00861DC0" w:rsidRDefault="00AF21BE" w:rsidP="00AF21BE">
      <w:pPr>
        <w:pStyle w:val="Vietacuerpo"/>
        <w:spacing w:line="276" w:lineRule="auto"/>
      </w:pPr>
      <w:r w:rsidRPr="00861DC0">
        <w:t>El remordimiento y la culpa en la obra.</w:t>
      </w:r>
    </w:p>
    <w:p w14:paraId="1B50B3F7" w14:textId="77777777" w:rsidR="00AF21BE" w:rsidRPr="00861DC0" w:rsidRDefault="00AF21BE" w:rsidP="00AF21BE">
      <w:pPr>
        <w:pStyle w:val="Prrafo"/>
      </w:pPr>
      <w:r w:rsidRPr="00861DC0">
        <w:t xml:space="preserve">Posterior a la lectura de ambos actos y a la reflexión en torno al fragmento leído y sus temas, se sugiere conducirla acerca de los elementos que convierten a </w:t>
      </w:r>
      <w:r w:rsidRPr="00861DC0">
        <w:rPr>
          <w:i/>
        </w:rPr>
        <w:t>Macbeth</w:t>
      </w:r>
      <w:r w:rsidRPr="00861DC0">
        <w:t xml:space="preserve"> en objeto de constantes representaciones y nuevas versiones hasta hoy, de modo tal que los y las estudiantes comenten sobre la cercanía del tema de la obra con su propia experiencia. En este sentido, se recomienda la revisión de películas o series de TV (o fragmentos de ellas) afines a los temas trabajados en la conversación, que pueden ser revisados en clases o bien trabajados como ejercicio fuera del aula. </w:t>
      </w:r>
    </w:p>
    <w:p w14:paraId="0214D464" w14:textId="77777777" w:rsidR="00AF21BE" w:rsidRPr="00861DC0" w:rsidRDefault="00AF21BE" w:rsidP="00AF21BE">
      <w:pPr>
        <w:rPr>
          <w:rFonts w:ascii="Verdana" w:eastAsia="Verdana" w:hAnsi="Verdana" w:cs="Verdana"/>
          <w:sz w:val="18"/>
          <w:szCs w:val="18"/>
        </w:rPr>
      </w:pPr>
    </w:p>
    <w:p w14:paraId="7424A2A4" w14:textId="77777777" w:rsidR="00AF21BE" w:rsidRPr="00861DC0" w:rsidRDefault="00AF21BE" w:rsidP="00AF21BE">
      <w:pPr>
        <w:pStyle w:val="Prrafo"/>
      </w:pPr>
      <w:r w:rsidRPr="00861DC0">
        <w:t>Ejemplo de ello son los siguientes títulos:</w:t>
      </w:r>
    </w:p>
    <w:p w14:paraId="3C807520" w14:textId="77777777" w:rsidR="00AF21BE" w:rsidRPr="00861DC0" w:rsidRDefault="00AF21BE" w:rsidP="00AF21BE">
      <w:pPr>
        <w:pStyle w:val="Vietacuerpo"/>
        <w:spacing w:line="276" w:lineRule="auto"/>
      </w:pPr>
      <w:proofErr w:type="spellStart"/>
      <w:r w:rsidRPr="00861DC0">
        <w:rPr>
          <w:i/>
        </w:rPr>
        <w:t>Kumonosu-jô</w:t>
      </w:r>
      <w:proofErr w:type="spellEnd"/>
      <w:r w:rsidRPr="00861DC0">
        <w:t xml:space="preserve"> </w:t>
      </w:r>
      <w:r w:rsidRPr="00861DC0">
        <w:rPr>
          <w:i/>
        </w:rPr>
        <w:t>(Trono de Sangre)</w:t>
      </w:r>
      <w:r w:rsidRPr="00861DC0">
        <w:t xml:space="preserve">, de Akira </w:t>
      </w:r>
      <w:proofErr w:type="spellStart"/>
      <w:r w:rsidRPr="00861DC0">
        <w:t>Kurosawa</w:t>
      </w:r>
      <w:proofErr w:type="spellEnd"/>
      <w:r w:rsidRPr="00861DC0">
        <w:t xml:space="preserve"> (1957, película).</w:t>
      </w:r>
    </w:p>
    <w:p w14:paraId="271A2DA9" w14:textId="77777777" w:rsidR="00AF21BE" w:rsidRPr="00861DC0" w:rsidRDefault="00AF21BE" w:rsidP="00AF21BE">
      <w:pPr>
        <w:pStyle w:val="Vietacuerpo"/>
        <w:spacing w:line="276" w:lineRule="auto"/>
      </w:pPr>
      <w:r w:rsidRPr="00861DC0">
        <w:rPr>
          <w:i/>
        </w:rPr>
        <w:t>El retorno de las brujas</w:t>
      </w:r>
      <w:r w:rsidRPr="00861DC0">
        <w:t xml:space="preserve"> (</w:t>
      </w:r>
      <w:proofErr w:type="spellStart"/>
      <w:r w:rsidRPr="00861DC0">
        <w:t>Hocus</w:t>
      </w:r>
      <w:proofErr w:type="spellEnd"/>
      <w:r w:rsidRPr="00861DC0">
        <w:t xml:space="preserve"> </w:t>
      </w:r>
      <w:proofErr w:type="spellStart"/>
      <w:r w:rsidRPr="00861DC0">
        <w:t>Pocus</w:t>
      </w:r>
      <w:proofErr w:type="spellEnd"/>
      <w:r w:rsidRPr="00861DC0">
        <w:t>), de Kenny Ortega (1993, película).</w:t>
      </w:r>
    </w:p>
    <w:p w14:paraId="3256687D" w14:textId="77777777" w:rsidR="00AF21BE" w:rsidRPr="00861DC0" w:rsidRDefault="00AF21BE" w:rsidP="00AF21BE">
      <w:pPr>
        <w:pStyle w:val="Vietacuerpo"/>
        <w:spacing w:line="276" w:lineRule="auto"/>
      </w:pPr>
      <w:r w:rsidRPr="00861DC0">
        <w:rPr>
          <w:i/>
        </w:rPr>
        <w:t>Jóvenes y brujas (</w:t>
      </w:r>
      <w:proofErr w:type="spellStart"/>
      <w:r w:rsidRPr="00861DC0">
        <w:rPr>
          <w:i/>
        </w:rPr>
        <w:t>The</w:t>
      </w:r>
      <w:proofErr w:type="spellEnd"/>
      <w:r w:rsidRPr="00861DC0">
        <w:rPr>
          <w:i/>
        </w:rPr>
        <w:t xml:space="preserve"> </w:t>
      </w:r>
      <w:proofErr w:type="spellStart"/>
      <w:r w:rsidRPr="00861DC0">
        <w:rPr>
          <w:i/>
        </w:rPr>
        <w:t>Craft</w:t>
      </w:r>
      <w:proofErr w:type="spellEnd"/>
      <w:r w:rsidRPr="00861DC0">
        <w:rPr>
          <w:i/>
        </w:rPr>
        <w:t>)</w:t>
      </w:r>
      <w:r w:rsidRPr="00861DC0">
        <w:t>, de Andrew Fleming (1996, película).</w:t>
      </w:r>
    </w:p>
    <w:p w14:paraId="37F350D0" w14:textId="77777777" w:rsidR="00AF21BE" w:rsidRPr="00861DC0" w:rsidRDefault="00AF21BE" w:rsidP="00AF21BE">
      <w:pPr>
        <w:pStyle w:val="Vietacuerpo"/>
        <w:spacing w:line="276" w:lineRule="auto"/>
      </w:pPr>
      <w:r w:rsidRPr="00861DC0">
        <w:rPr>
          <w:i/>
        </w:rPr>
        <w:t>Embrujadas (</w:t>
      </w:r>
      <w:proofErr w:type="spellStart"/>
      <w:r w:rsidRPr="00861DC0">
        <w:rPr>
          <w:i/>
        </w:rPr>
        <w:t>Charmed</w:t>
      </w:r>
      <w:proofErr w:type="spellEnd"/>
      <w:r w:rsidRPr="00861DC0">
        <w:rPr>
          <w:i/>
        </w:rPr>
        <w:t>)</w:t>
      </w:r>
      <w:r w:rsidRPr="00861DC0">
        <w:t xml:space="preserve"> (1998, serie de TV).</w:t>
      </w:r>
    </w:p>
    <w:p w14:paraId="0C700765" w14:textId="77777777" w:rsidR="00AF21BE" w:rsidRPr="00861DC0" w:rsidRDefault="00AF21BE" w:rsidP="00AF21BE">
      <w:pPr>
        <w:pStyle w:val="Vietacuerpo"/>
        <w:spacing w:line="276" w:lineRule="auto"/>
        <w:rPr>
          <w:i/>
        </w:rPr>
      </w:pPr>
      <w:r w:rsidRPr="00861DC0">
        <w:rPr>
          <w:i/>
        </w:rPr>
        <w:t>Prófugos</w:t>
      </w:r>
      <w:r w:rsidRPr="00861DC0">
        <w:t>, de Pablo Larraín (2011, serie de TV).</w:t>
      </w:r>
    </w:p>
    <w:p w14:paraId="40D85A46" w14:textId="77777777" w:rsidR="00AF21BE" w:rsidRPr="00861DC0" w:rsidRDefault="00AF21BE" w:rsidP="00AF21BE">
      <w:pPr>
        <w:pStyle w:val="Vietacuerpo"/>
        <w:spacing w:line="276" w:lineRule="auto"/>
      </w:pPr>
      <w:r w:rsidRPr="00861DC0">
        <w:t>Juego de tronos (</w:t>
      </w:r>
      <w:proofErr w:type="spellStart"/>
      <w:r w:rsidRPr="00861DC0">
        <w:t>Game</w:t>
      </w:r>
      <w:proofErr w:type="spellEnd"/>
      <w:r w:rsidRPr="00861DC0">
        <w:t xml:space="preserve"> </w:t>
      </w:r>
      <w:proofErr w:type="spellStart"/>
      <w:r w:rsidRPr="00861DC0">
        <w:t>of</w:t>
      </w:r>
      <w:proofErr w:type="spellEnd"/>
      <w:r w:rsidRPr="00861DC0">
        <w:t xml:space="preserve"> </w:t>
      </w:r>
      <w:proofErr w:type="spellStart"/>
      <w:r w:rsidRPr="00861DC0">
        <w:t>thrones</w:t>
      </w:r>
      <w:proofErr w:type="spellEnd"/>
      <w:r w:rsidRPr="00861DC0">
        <w:t>) (2011, serie de TV).</w:t>
      </w:r>
    </w:p>
    <w:p w14:paraId="470C0C31" w14:textId="77777777" w:rsidR="00AF21BE" w:rsidRPr="00861DC0" w:rsidRDefault="00AF21BE" w:rsidP="00AF21BE">
      <w:pPr>
        <w:pStyle w:val="Vietacuerpo"/>
        <w:spacing w:line="276" w:lineRule="auto"/>
        <w:rPr>
          <w:lang w:val="en-US"/>
        </w:rPr>
      </w:pPr>
      <w:r w:rsidRPr="00861DC0">
        <w:rPr>
          <w:i/>
          <w:lang w:val="en-US"/>
        </w:rPr>
        <w:t>House of cards</w:t>
      </w:r>
      <w:r w:rsidRPr="00861DC0">
        <w:rPr>
          <w:lang w:val="en-US"/>
        </w:rPr>
        <w:t xml:space="preserve"> (2013, </w:t>
      </w:r>
      <w:proofErr w:type="spellStart"/>
      <w:r w:rsidRPr="00861DC0">
        <w:rPr>
          <w:lang w:val="en-US"/>
        </w:rPr>
        <w:t>serie</w:t>
      </w:r>
      <w:proofErr w:type="spellEnd"/>
      <w:r w:rsidRPr="00861DC0">
        <w:rPr>
          <w:lang w:val="en-US"/>
        </w:rPr>
        <w:t xml:space="preserve"> de TV).</w:t>
      </w:r>
    </w:p>
    <w:p w14:paraId="343C88B2" w14:textId="77777777" w:rsidR="00AF21BE" w:rsidRPr="00861DC0" w:rsidRDefault="00AF21BE" w:rsidP="00AF21BE">
      <w:pPr>
        <w:pStyle w:val="Vietacuerpo"/>
        <w:spacing w:line="276" w:lineRule="auto"/>
      </w:pPr>
      <w:r w:rsidRPr="00861DC0">
        <w:rPr>
          <w:i/>
        </w:rPr>
        <w:t>Macbeth</w:t>
      </w:r>
      <w:r w:rsidRPr="00861DC0">
        <w:t xml:space="preserve"> de Justin </w:t>
      </w:r>
      <w:proofErr w:type="spellStart"/>
      <w:r w:rsidRPr="00861DC0">
        <w:t>Kurzel</w:t>
      </w:r>
      <w:proofErr w:type="spellEnd"/>
      <w:r w:rsidRPr="00861DC0">
        <w:t xml:space="preserve"> (2015, película).</w:t>
      </w:r>
    </w:p>
    <w:p w14:paraId="1154E6CA" w14:textId="77777777" w:rsidR="00AF21BE" w:rsidRPr="00861DC0" w:rsidRDefault="00AF21BE" w:rsidP="00AF21BE">
      <w:pPr>
        <w:pStyle w:val="Prrafo"/>
      </w:pPr>
      <w:r w:rsidRPr="00861DC0">
        <w:t xml:space="preserve">Respecto de la propuesta de series de TV y películas, también pueden determinar qué otros temas humanos tratados en </w:t>
      </w:r>
      <w:r w:rsidRPr="00861DC0">
        <w:rPr>
          <w:i/>
        </w:rPr>
        <w:t>Macbeth</w:t>
      </w:r>
      <w:r w:rsidRPr="00861DC0">
        <w:t xml:space="preserve"> se manifiestan en las obras, con el objeto de evidenciar las relaciones intertextuales que se establecen y las maneras en que los personajes y los temas de </w:t>
      </w:r>
      <w:r w:rsidRPr="00861DC0">
        <w:rPr>
          <w:i/>
        </w:rPr>
        <w:t>Macbeth</w:t>
      </w:r>
      <w:r w:rsidRPr="00861DC0">
        <w:t xml:space="preserve"> se revitalizan en la actualidad. </w:t>
      </w:r>
    </w:p>
    <w:p w14:paraId="012689DC" w14:textId="77777777" w:rsidR="00AF21BE" w:rsidRPr="00861DC0" w:rsidRDefault="00AF21BE" w:rsidP="00AF21BE">
      <w:pPr>
        <w:pStyle w:val="Prrafo"/>
      </w:pPr>
      <w:r w:rsidRPr="00861DC0">
        <w:lastRenderedPageBreak/>
        <w:t xml:space="preserve">Se recomienda, además, establecer relaciones con otras manifestaciones artísticas para complementar el conocimiento respecto del periodo, por ejemplo, pintura, música y escultura de la época. Asimismo, y ya que han leído y analizado los dos primeros actos de la obra, el o la docente puede proponer la lectura domiciliaria de los Actos III, IV y V, a modo de profundización de la obra literaria. </w:t>
      </w:r>
    </w:p>
    <w:p w14:paraId="3E83726C" w14:textId="77777777" w:rsidR="00AF21BE" w:rsidRPr="00861DC0" w:rsidRDefault="00AF21BE" w:rsidP="00AF21BE">
      <w:pPr>
        <w:pStyle w:val="Prrafo"/>
      </w:pPr>
      <w:r w:rsidRPr="00861DC0">
        <w:t xml:space="preserve">Para finalizar, siguiendo la línea reflexiva planteada e incorporando comparaciones entre la obra original y la(s) reescritura(s) presentada(s), los y las estudiantes de cada grupo pueden escribir un breve análisis grupal de la obra para compartir sus ideas y comentarios con el curso. La intención es que el análisis incluya reflexiones sobre la obra, incorpore las interpretaciones surgidas de la discusión y vincule la obra con las reescrituras revisadas, de manera de visualizar los modos en que </w:t>
      </w:r>
      <w:r w:rsidRPr="00861DC0">
        <w:rPr>
          <w:i/>
        </w:rPr>
        <w:t>Macbeth</w:t>
      </w:r>
      <w:r w:rsidRPr="00861DC0">
        <w:t xml:space="preserve"> y sus conflictos y temas se actualizan constantemente. Por ejemplo, como entrada al análisis, el o la docente puede proponer una reflexión sobre cómo se expresan el poder y la ambición a lo largo del tiempo: ¿Se ambiciona lo mismo? ¿El poder se manifiesta del mismo modo? ¿Es </w:t>
      </w:r>
      <w:r w:rsidRPr="00861DC0">
        <w:rPr>
          <w:i/>
        </w:rPr>
        <w:t>Macbeth</w:t>
      </w:r>
      <w:r w:rsidRPr="00861DC0">
        <w:t xml:space="preserve"> una obra literaria que se revitaliza a lo largo del tiempo y en otras manifestaciones culturales?, ¿cómo y por qué?</w:t>
      </w:r>
    </w:p>
    <w:p w14:paraId="53C9673C" w14:textId="77777777" w:rsidR="00AF21BE" w:rsidRPr="00861DC0" w:rsidRDefault="00AF21BE" w:rsidP="00AF21BE">
      <w:pPr>
        <w:spacing w:before="240" w:after="240"/>
        <w:jc w:val="both"/>
        <w:rPr>
          <w:rFonts w:ascii="Verdana" w:eastAsia="Verdana" w:hAnsi="Verdana" w:cs="Verdana"/>
          <w:b/>
          <w:sz w:val="16"/>
          <w:szCs w:val="16"/>
        </w:rPr>
      </w:pPr>
      <w:r w:rsidRPr="00861DC0">
        <w:rPr>
          <w:rFonts w:ascii="Verdana" w:eastAsia="Verdana" w:hAnsi="Verdana" w:cs="Verdana"/>
          <w:b/>
          <w:sz w:val="16"/>
          <w:szCs w:val="16"/>
        </w:rPr>
        <w:t>® Artes Visuales</w:t>
      </w:r>
    </w:p>
    <w:p w14:paraId="708A5178" w14:textId="77777777" w:rsidR="00AF21BE" w:rsidRPr="00861DC0" w:rsidRDefault="00AF21BE" w:rsidP="00AF21BE">
      <w:pPr>
        <w:pStyle w:val="Prrafo"/>
      </w:pPr>
    </w:p>
    <w:tbl>
      <w:tblPr>
        <w:tblStyle w:val="10"/>
        <w:tblW w:w="93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AF21BE" w:rsidRPr="00861DC0" w14:paraId="411050F5" w14:textId="77777777" w:rsidTr="0033735B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5F49" w14:textId="77777777" w:rsidR="00AF21BE" w:rsidRPr="00AF21BE" w:rsidRDefault="00AF21BE" w:rsidP="0033735B">
            <w:pPr>
              <w:spacing w:before="240" w:after="120"/>
              <w:ind w:left="119"/>
              <w:jc w:val="both"/>
              <w:rPr>
                <w:color w:val="FFC000"/>
              </w:rPr>
            </w:pPr>
            <w:r w:rsidRPr="00AF21BE">
              <w:rPr>
                <w:rFonts w:ascii="Verdana" w:eastAsia="Verdana" w:hAnsi="Verdana" w:cs="Verdana"/>
                <w:b/>
                <w:color w:val="FFC000"/>
                <w:sz w:val="16"/>
                <w:szCs w:val="16"/>
              </w:rPr>
              <w:t>Observaciones a la o el docente</w:t>
            </w:r>
            <w:bookmarkStart w:id="0" w:name="_GoBack"/>
            <w:bookmarkEnd w:id="0"/>
          </w:p>
          <w:p w14:paraId="76A81C34" w14:textId="77777777" w:rsidR="00AF21BE" w:rsidRPr="00861DC0" w:rsidRDefault="00AF21BE" w:rsidP="0033735B">
            <w:pPr>
              <w:spacing w:before="240"/>
              <w:ind w:left="120"/>
              <w:jc w:val="both"/>
            </w:pPr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Se sugiere mostrar un fragmento de la puesta en escena de la obra, para motivar su lectura. También se sugiere mostrar, a modo de motivación, la obra pictórica </w:t>
            </w:r>
            <w:r w:rsidRPr="00861DC0">
              <w:rPr>
                <w:rFonts w:ascii="Verdana" w:eastAsia="Verdana" w:hAnsi="Verdana" w:cs="Verdana"/>
                <w:i/>
                <w:sz w:val="16"/>
                <w:szCs w:val="16"/>
              </w:rPr>
              <w:t>Las tres brujas,</w:t>
            </w:r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 del artista suizo Johann Heinrich </w:t>
            </w:r>
            <w:proofErr w:type="spellStart"/>
            <w:r w:rsidRPr="00861DC0">
              <w:rPr>
                <w:rFonts w:ascii="Verdana" w:eastAsia="Verdana" w:hAnsi="Verdana" w:cs="Verdana"/>
                <w:sz w:val="16"/>
                <w:szCs w:val="16"/>
              </w:rPr>
              <w:t>Füssli</w:t>
            </w:r>
            <w:proofErr w:type="spellEnd"/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 (1741-1825); y la obra </w:t>
            </w:r>
            <w:r w:rsidRPr="00861DC0">
              <w:rPr>
                <w:rFonts w:ascii="Verdana" w:eastAsia="Verdana" w:hAnsi="Verdana" w:cs="Verdana"/>
                <w:i/>
                <w:sz w:val="16"/>
                <w:szCs w:val="16"/>
              </w:rPr>
              <w:t>Lady Macbeth sonámbula,</w:t>
            </w:r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 del artista francés Eugene Delacroix (1798-1863). Puede ayudar a los y las estudiantes a analizar las imágenes señalándoles las características de las obras de ambos artistas: la obra de </w:t>
            </w:r>
            <w:proofErr w:type="spellStart"/>
            <w:r w:rsidRPr="00861DC0">
              <w:rPr>
                <w:rFonts w:ascii="Verdana" w:eastAsia="Verdana" w:hAnsi="Verdana" w:cs="Verdana"/>
                <w:sz w:val="16"/>
                <w:szCs w:val="16"/>
              </w:rPr>
              <w:t>Füssli</w:t>
            </w:r>
            <w:proofErr w:type="spellEnd"/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 es considerada cercana al Romanticismo, debido a la presencia de ambientes oscuros y terroríficos. En su obra también aparecen elementos fantásticos e irracionales, tal como muestra la pintura </w:t>
            </w:r>
            <w:r w:rsidRPr="00861DC0">
              <w:rPr>
                <w:rFonts w:ascii="Verdana" w:eastAsia="Verdana" w:hAnsi="Verdana" w:cs="Verdana"/>
                <w:i/>
                <w:sz w:val="16"/>
                <w:szCs w:val="16"/>
              </w:rPr>
              <w:t>Las tres brujas,</w:t>
            </w:r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 que representa a las hechiceras anunciándole a Macbeth la muerte. Delacroix fue un pintor del periodo romántico cuyos temas están relacionados con acontecimientos históricos y literarios.</w:t>
            </w:r>
            <w:r w:rsidRPr="00861DC0">
              <w:rPr>
                <w:rFonts w:ascii="Verdana" w:eastAsia="Verdana" w:hAnsi="Verdana" w:cs="Verdana"/>
              </w:rPr>
              <w:t xml:space="preserve"> </w:t>
            </w:r>
            <w:r w:rsidRPr="00861DC0">
              <w:rPr>
                <w:rFonts w:ascii="Verdana" w:eastAsia="Verdana" w:hAnsi="Verdana" w:cs="Verdana"/>
                <w:sz w:val="16"/>
                <w:szCs w:val="16"/>
              </w:rPr>
              <w:t>Sus obras se caracterizan por su colorido y expresividad, como lo muestra el rostro de Lady Macbeth, presa de la locura.</w:t>
            </w:r>
          </w:p>
          <w:p w14:paraId="2A4EE8EF" w14:textId="77777777" w:rsidR="00AF21BE" w:rsidRPr="00861DC0" w:rsidRDefault="00AF21BE" w:rsidP="0033735B">
            <w:pPr>
              <w:spacing w:before="240"/>
              <w:ind w:left="120"/>
              <w:jc w:val="both"/>
            </w:pPr>
            <w:r w:rsidRPr="00861DC0">
              <w:rPr>
                <w:rFonts w:ascii="Verdana" w:eastAsia="Verdana" w:hAnsi="Verdana" w:cs="Verdana"/>
                <w:sz w:val="16"/>
                <w:szCs w:val="16"/>
              </w:rPr>
              <w:t>Se pueden encontrar imágenes de las obras en los siguientes vínculos web:</w:t>
            </w:r>
          </w:p>
          <w:p w14:paraId="304ADDFC" w14:textId="77777777" w:rsidR="00AF21BE" w:rsidRPr="00861DC0" w:rsidRDefault="00AF21BE" w:rsidP="0033735B">
            <w:pPr>
              <w:spacing w:before="240"/>
              <w:ind w:left="120"/>
              <w:jc w:val="both"/>
            </w:pPr>
            <w:hyperlink r:id="rId5">
              <w:r w:rsidRPr="00861DC0">
                <w:rPr>
                  <w:rFonts w:ascii="Verdana" w:eastAsia="Verdana" w:hAnsi="Verdana" w:cs="Verdana"/>
                  <w:color w:val="1155CC"/>
                  <w:sz w:val="16"/>
                  <w:szCs w:val="16"/>
                  <w:u w:val="single"/>
                </w:rPr>
                <w:t>http://huntingtonblogs.org/2014/10/which-witch/</w:t>
              </w:r>
            </w:hyperlink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 (Consultado el 30 de mayo de 2016)</w:t>
            </w:r>
          </w:p>
          <w:p w14:paraId="4332D920" w14:textId="77777777" w:rsidR="00AF21BE" w:rsidRPr="00861DC0" w:rsidRDefault="00AF21BE" w:rsidP="0033735B">
            <w:pPr>
              <w:spacing w:before="240"/>
              <w:ind w:left="120"/>
              <w:jc w:val="both"/>
            </w:pPr>
            <w:hyperlink r:id="rId6">
              <w:r w:rsidRPr="00861DC0">
                <w:rPr>
                  <w:rFonts w:ascii="Verdana" w:eastAsia="Verdana" w:hAnsi="Verdana" w:cs="Verdana"/>
                  <w:color w:val="1155CC"/>
                  <w:sz w:val="16"/>
                  <w:szCs w:val="16"/>
                  <w:u w:val="single"/>
                </w:rPr>
                <w:t>http://diverso.blog.tiscali.it/2015/06/22/sonnambulismo-xviii%C2%B0-xix%C2%B0-secolo/</w:t>
              </w:r>
            </w:hyperlink>
            <w:hyperlink r:id="rId7"/>
            <w:r w:rsidRPr="00861DC0">
              <w:t xml:space="preserve"> </w:t>
            </w:r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(Consultado el 30 de mayo de 2016) </w:t>
            </w:r>
          </w:p>
          <w:p w14:paraId="10C06C88" w14:textId="77777777" w:rsidR="00AF21BE" w:rsidRPr="00861DC0" w:rsidRDefault="00AF21BE" w:rsidP="0033735B">
            <w:pPr>
              <w:spacing w:before="240" w:after="120"/>
              <w:ind w:left="119"/>
              <w:jc w:val="both"/>
            </w:pPr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A modo de acercamiento al personaje de Macbeth y sus motivaciones, se sugiere revisar el ensayo </w:t>
            </w:r>
            <w:r w:rsidRPr="00861DC0">
              <w:rPr>
                <w:rFonts w:ascii="Verdana" w:eastAsia="Verdana" w:hAnsi="Verdana" w:cs="Verdana"/>
                <w:i/>
                <w:sz w:val="16"/>
                <w:szCs w:val="16"/>
              </w:rPr>
              <w:t>La maldad es silencio (Shakespeare y los personajes malvados)</w:t>
            </w:r>
            <w:r w:rsidRPr="00861DC0">
              <w:rPr>
                <w:rFonts w:ascii="Verdana" w:eastAsia="Verdana" w:hAnsi="Verdana" w:cs="Verdana"/>
                <w:sz w:val="16"/>
                <w:szCs w:val="16"/>
              </w:rPr>
              <w:t>, de José Carlos Somoza, disponible en</w:t>
            </w:r>
            <w:hyperlink r:id="rId8">
              <w:r w:rsidRPr="00861DC0">
                <w:rPr>
                  <w:rFonts w:ascii="Verdana" w:eastAsia="Verdana" w:hAnsi="Verdana" w:cs="Verdana"/>
                  <w:sz w:val="16"/>
                  <w:szCs w:val="16"/>
                </w:rPr>
                <w:t xml:space="preserve"> </w:t>
              </w:r>
            </w:hyperlink>
            <w:hyperlink r:id="rId9">
              <w:r w:rsidRPr="00861DC0">
                <w:rPr>
                  <w:rFonts w:ascii="Verdana" w:eastAsia="Verdana" w:hAnsi="Verdana" w:cs="Verdana"/>
                  <w:color w:val="1155CC"/>
                  <w:sz w:val="16"/>
                  <w:szCs w:val="16"/>
                  <w:u w:val="single"/>
                </w:rPr>
                <w:t>http://www.revistaaen.es/index.php/frenia/article/view/16373/16219</w:t>
              </w:r>
            </w:hyperlink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 (Consultado el 30 de mayo de 2016).</w:t>
            </w:r>
          </w:p>
        </w:tc>
      </w:tr>
    </w:tbl>
    <w:p w14:paraId="5A58B817" w14:textId="77777777" w:rsidR="00AF21BE" w:rsidRDefault="00AF21BE" w:rsidP="0068198B">
      <w:pPr>
        <w:rPr>
          <w:rFonts w:ascii="Verdana" w:hAnsi="Verdana"/>
          <w:color w:val="FFC000" w:themeColor="accent4"/>
        </w:rPr>
      </w:pPr>
    </w:p>
    <w:p w14:paraId="235499D2" w14:textId="77777777" w:rsidR="00241561" w:rsidRDefault="00241561"/>
    <w:sectPr w:rsidR="002415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881"/>
    <w:multiLevelType w:val="hybridMultilevel"/>
    <w:tmpl w:val="6A6C13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56E31"/>
    <w:multiLevelType w:val="hybridMultilevel"/>
    <w:tmpl w:val="E144A1D0"/>
    <w:lvl w:ilvl="0" w:tplc="23DE433C">
      <w:start w:val="1"/>
      <w:numFmt w:val="bullet"/>
      <w:pStyle w:val="Vietacuerp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DA"/>
    <w:rsid w:val="00241561"/>
    <w:rsid w:val="0068198B"/>
    <w:rsid w:val="009C65DA"/>
    <w:rsid w:val="00A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30F4"/>
  <w15:chartTrackingRefBased/>
  <w15:docId w15:val="{3B270EFA-D955-4738-A1C4-8F6CB651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0">
    <w:name w:val="10"/>
    <w:basedOn w:val="Tablanormal"/>
    <w:rsid w:val="00AF21BE"/>
    <w:pPr>
      <w:spacing w:after="0" w:line="276" w:lineRule="auto"/>
    </w:pPr>
    <w:rPr>
      <w:rFonts w:ascii="Arial" w:eastAsia="Arial" w:hAnsi="Arial" w:cs="Arial"/>
      <w:color w:val="000000"/>
      <w:lang w:val="es-ES" w:eastAsia="es-E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AF21B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Prrafo">
    <w:name w:val="Párrafo"/>
    <w:basedOn w:val="Normal"/>
    <w:link w:val="PrrafoCar"/>
    <w:qFormat/>
    <w:rsid w:val="00AF21BE"/>
    <w:pPr>
      <w:spacing w:before="240" w:after="200" w:line="276" w:lineRule="auto"/>
      <w:jc w:val="both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Vietacuerpo">
    <w:name w:val="Viñeta cuerpo"/>
    <w:basedOn w:val="Normal"/>
    <w:link w:val="VietacuerpoCar"/>
    <w:qFormat/>
    <w:rsid w:val="00AF21BE"/>
    <w:pPr>
      <w:numPr>
        <w:numId w:val="1"/>
      </w:numPr>
      <w:spacing w:before="100" w:after="100"/>
      <w:ind w:left="641" w:hanging="284"/>
      <w:jc w:val="both"/>
    </w:pPr>
    <w:rPr>
      <w:rFonts w:ascii="Verdana" w:eastAsia="Verdana" w:hAnsi="Verdana" w:cs="Verdana"/>
      <w:color w:val="000000"/>
      <w:sz w:val="18"/>
      <w:szCs w:val="18"/>
    </w:rPr>
  </w:style>
  <w:style w:type="character" w:customStyle="1" w:styleId="PrrafoCar">
    <w:name w:val="Párrafo Car"/>
    <w:basedOn w:val="Fuentedeprrafopredeter"/>
    <w:link w:val="Prrafo"/>
    <w:rsid w:val="00AF21BE"/>
    <w:rPr>
      <w:rFonts w:ascii="Verdana" w:eastAsia="Verdana" w:hAnsi="Verdana" w:cs="Verdana"/>
      <w:color w:val="000000"/>
      <w:sz w:val="18"/>
      <w:szCs w:val="18"/>
      <w:lang w:val="es-ES" w:eastAsia="es-ES"/>
    </w:rPr>
  </w:style>
  <w:style w:type="character" w:customStyle="1" w:styleId="VietacuerpoCar">
    <w:name w:val="Viñeta cuerpo Car"/>
    <w:basedOn w:val="Fuentedeprrafopredeter"/>
    <w:link w:val="Vietacuerpo"/>
    <w:rsid w:val="00AF21BE"/>
    <w:rPr>
      <w:rFonts w:ascii="Verdana" w:eastAsia="Verdana" w:hAnsi="Verdana" w:cs="Verdana"/>
      <w:color w:val="000000"/>
      <w:sz w:val="18"/>
      <w:szCs w:val="18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F21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aen.es/index.php/frenia/article/view/16373/162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verso.blog.tiscali.it/2015/06/22/sonnambulismo-xviii%C2%B0-xix%C2%B0-seco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verso.blog.tiscali.it/2015/06/22/sonnambulismo-xviii%C2%B0-xix%C2%B0-secol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untingtonblogs.org/2014/10/which-wit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vistaaen.es/index.php/frenia/article/view/16373/162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3</cp:revision>
  <dcterms:created xsi:type="dcterms:W3CDTF">2019-05-24T15:27:00Z</dcterms:created>
  <dcterms:modified xsi:type="dcterms:W3CDTF">2019-05-24T15:42:00Z</dcterms:modified>
</cp:coreProperties>
</file>