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783C" w14:textId="67AC9047" w:rsidR="00CB4834" w:rsidRDefault="00EA4A48">
      <w:pPr>
        <w:rPr>
          <w:sz w:val="20"/>
          <w:szCs w:val="20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427D99">
        <w:rPr>
          <w:rFonts w:ascii="Verdana" w:hAnsi="Verdana"/>
          <w:color w:val="00C85A"/>
          <w:sz w:val="24"/>
          <w:szCs w:val="24"/>
        </w:rPr>
        <w:t>Química 2º</w:t>
      </w:r>
      <w:r w:rsidR="00427D99">
        <w:rPr>
          <w:rFonts w:ascii="Verdana" w:hAnsi="Verdana"/>
          <w:color w:val="00C85A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color w:val="00C85A"/>
          <w:sz w:val="24"/>
          <w:szCs w:val="24"/>
        </w:rPr>
        <w:t>medio / Unidad 4 / OA</w:t>
      </w:r>
      <w:r w:rsidR="00B301BA">
        <w:rPr>
          <w:rFonts w:ascii="Verdana" w:hAnsi="Verdana"/>
          <w:color w:val="00C85A"/>
          <w:sz w:val="24"/>
          <w:szCs w:val="24"/>
        </w:rPr>
        <w:t>1</w:t>
      </w:r>
      <w:r>
        <w:rPr>
          <w:rFonts w:ascii="Verdana" w:hAnsi="Verdana"/>
          <w:color w:val="00C85A"/>
          <w:sz w:val="24"/>
          <w:szCs w:val="24"/>
        </w:rPr>
        <w:t xml:space="preserve">8 / Actividad </w:t>
      </w:r>
      <w:r w:rsidR="005C7193">
        <w:rPr>
          <w:rFonts w:ascii="Verdana" w:hAnsi="Verdana"/>
          <w:color w:val="00C85A"/>
          <w:sz w:val="24"/>
          <w:szCs w:val="24"/>
        </w:rPr>
        <w:t>4</w:t>
      </w:r>
    </w:p>
    <w:p w14:paraId="757181CD" w14:textId="1E8D9E4B" w:rsidR="002F105E" w:rsidRDefault="002F105E">
      <w:pPr>
        <w:rPr>
          <w:sz w:val="20"/>
          <w:szCs w:val="20"/>
        </w:rPr>
      </w:pPr>
    </w:p>
    <w:p w14:paraId="713A1BDF" w14:textId="73658C6E" w:rsidR="002F105E" w:rsidRPr="002F105E" w:rsidRDefault="002F105E" w:rsidP="002F105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2F105E">
        <w:rPr>
          <w:rFonts w:ascii="Verdana" w:hAnsi="Verdana"/>
          <w:b/>
          <w:sz w:val="20"/>
          <w:szCs w:val="20"/>
        </w:rPr>
        <w:t xml:space="preserve">Transformemos la sacarosa en glucosa </w:t>
      </w:r>
    </w:p>
    <w:p w14:paraId="5D4C2B14" w14:textId="77777777" w:rsidR="002F105E" w:rsidRPr="002F105E" w:rsidRDefault="002F105E" w:rsidP="002F105E">
      <w:pPr>
        <w:spacing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4E1D7BDA" w14:textId="6ED1FF3B" w:rsidR="002F105E" w:rsidRPr="002F105E" w:rsidRDefault="002F105E" w:rsidP="002F105E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En equipos de trabajo, realizan la siguiente actividad, partiendo por su parte experimental:</w:t>
      </w:r>
      <w:r>
        <w:rPr>
          <w:rFonts w:ascii="Verdana" w:hAnsi="Verdana"/>
          <w:sz w:val="20"/>
          <w:szCs w:val="20"/>
        </w:rPr>
        <w:br/>
      </w:r>
    </w:p>
    <w:p w14:paraId="5C252F03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 xml:space="preserve">Disuelven un terrón de azúcar (sacarosa) en 100 </w:t>
      </w:r>
      <w:proofErr w:type="spellStart"/>
      <w:r w:rsidRPr="002F105E">
        <w:rPr>
          <w:rFonts w:ascii="Verdana" w:hAnsi="Verdana"/>
          <w:sz w:val="20"/>
          <w:szCs w:val="20"/>
        </w:rPr>
        <w:t>mL</w:t>
      </w:r>
      <w:proofErr w:type="spellEnd"/>
      <w:r w:rsidRPr="002F105E">
        <w:rPr>
          <w:rFonts w:ascii="Verdana" w:hAnsi="Verdana"/>
          <w:sz w:val="20"/>
          <w:szCs w:val="20"/>
        </w:rPr>
        <w:t xml:space="preserve"> de agua.</w:t>
      </w:r>
    </w:p>
    <w:p w14:paraId="1989779C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 xml:space="preserve">Realizan </w:t>
      </w:r>
      <w:proofErr w:type="gramStart"/>
      <w:r w:rsidRPr="002F105E">
        <w:rPr>
          <w:rFonts w:ascii="Verdana" w:hAnsi="Verdana"/>
          <w:sz w:val="20"/>
          <w:szCs w:val="20"/>
        </w:rPr>
        <w:t>el test</w:t>
      </w:r>
      <w:proofErr w:type="gramEnd"/>
      <w:r w:rsidRPr="002F105E">
        <w:rPr>
          <w:rFonts w:ascii="Verdana" w:hAnsi="Verdana"/>
          <w:sz w:val="20"/>
          <w:szCs w:val="20"/>
        </w:rPr>
        <w:t xml:space="preserve"> de Benedict (test de glucosa): para ello agregan 2 </w:t>
      </w:r>
      <w:proofErr w:type="spellStart"/>
      <w:r w:rsidRPr="002F105E">
        <w:rPr>
          <w:rFonts w:ascii="Verdana" w:hAnsi="Verdana"/>
          <w:sz w:val="20"/>
          <w:szCs w:val="20"/>
        </w:rPr>
        <w:t>mL</w:t>
      </w:r>
      <w:proofErr w:type="spellEnd"/>
      <w:r w:rsidRPr="002F105E">
        <w:rPr>
          <w:rFonts w:ascii="Verdana" w:hAnsi="Verdana"/>
          <w:sz w:val="20"/>
          <w:szCs w:val="20"/>
        </w:rPr>
        <w:t xml:space="preserve"> de solución en un tubo de ensayo, añaden 2 </w:t>
      </w:r>
      <w:proofErr w:type="spellStart"/>
      <w:r w:rsidRPr="002F105E">
        <w:rPr>
          <w:rFonts w:ascii="Verdana" w:hAnsi="Verdana"/>
          <w:sz w:val="20"/>
          <w:szCs w:val="20"/>
        </w:rPr>
        <w:t>mL</w:t>
      </w:r>
      <w:proofErr w:type="spellEnd"/>
      <w:r w:rsidRPr="002F105E">
        <w:rPr>
          <w:rFonts w:ascii="Verdana" w:hAnsi="Verdana"/>
          <w:sz w:val="20"/>
          <w:szCs w:val="20"/>
        </w:rPr>
        <w:t xml:space="preserve"> de reactivo de Benedict y luego hierven la solución a baño maría. Registran lo observado (la aparición de un precipitado rojo indica la presencia de glucosa).</w:t>
      </w:r>
    </w:p>
    <w:p w14:paraId="49BE5644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 xml:space="preserve">Al resto de la solución añaden entre 5 y 10 </w:t>
      </w:r>
      <w:proofErr w:type="spellStart"/>
      <w:r w:rsidRPr="002F105E">
        <w:rPr>
          <w:rFonts w:ascii="Verdana" w:hAnsi="Verdana"/>
          <w:sz w:val="20"/>
          <w:szCs w:val="20"/>
        </w:rPr>
        <w:t>mL</w:t>
      </w:r>
      <w:proofErr w:type="spellEnd"/>
      <w:r w:rsidRPr="002F105E">
        <w:rPr>
          <w:rFonts w:ascii="Verdana" w:hAnsi="Verdana"/>
          <w:sz w:val="20"/>
          <w:szCs w:val="20"/>
        </w:rPr>
        <w:t xml:space="preserve"> de ácido clorhídrico concentrado y lo dejan hervir durante 5 minutos.</w:t>
      </w:r>
    </w:p>
    <w:p w14:paraId="26004A31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Agregan una pequeña cantidad de bicarbonato hasta que no se desprendan burbujas. Vuelven a realizar la prueba de Benedict e identifican la glucosa (aparece el precipitado rojo característico).</w:t>
      </w:r>
    </w:p>
    <w:p w14:paraId="742B0B52" w14:textId="093959F9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Explican, sobre la base de la estructura molecular de la sacarosa, por qué se observan diferencias en los resultados observados entre el primer test y el segundo.</w:t>
      </w:r>
      <w:r>
        <w:rPr>
          <w:rFonts w:ascii="Verdana" w:hAnsi="Verdana"/>
          <w:sz w:val="20"/>
          <w:szCs w:val="20"/>
        </w:rPr>
        <w:br/>
      </w:r>
    </w:p>
    <w:p w14:paraId="325E3A9B" w14:textId="783D4958" w:rsidR="002F105E" w:rsidRPr="002F105E" w:rsidRDefault="002F105E" w:rsidP="002F105E">
      <w:pPr>
        <w:numPr>
          <w:ilvl w:val="0"/>
          <w:numId w:val="2"/>
        </w:numPr>
        <w:spacing w:after="0" w:line="276" w:lineRule="auto"/>
        <w:ind w:left="567" w:hanging="283"/>
        <w:contextualSpacing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Luego realizan la parte teórica:</w:t>
      </w:r>
      <w:r>
        <w:rPr>
          <w:rFonts w:ascii="Verdana" w:hAnsi="Verdana"/>
          <w:sz w:val="20"/>
          <w:szCs w:val="20"/>
        </w:rPr>
        <w:br/>
      </w:r>
    </w:p>
    <w:p w14:paraId="63FB22D9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Desarrollan las fórmulas estructurales de la glucosa y la fructosa e identifican los átomos de carbono quirales presentes.</w:t>
      </w:r>
    </w:p>
    <w:p w14:paraId="3474D72B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Explican sus semejanzas y diferencias.</w:t>
      </w:r>
    </w:p>
    <w:p w14:paraId="016F5B86" w14:textId="77777777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Interpretan la estabilidad estructural de cada una en su forma cíclica.</w:t>
      </w:r>
    </w:p>
    <w:p w14:paraId="2816E16C" w14:textId="6233B565" w:rsidR="002F105E" w:rsidRPr="002F105E" w:rsidRDefault="002F105E" w:rsidP="002F105E">
      <w:pPr>
        <w:numPr>
          <w:ilvl w:val="0"/>
          <w:numId w:val="4"/>
        </w:numPr>
        <w:spacing w:after="0" w:line="276" w:lineRule="auto"/>
        <w:ind w:left="993" w:right="3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Investigan las fuentes naturales de estas. Contestan: ¿Qué tipo de estructuras poseen los organismos en que ocurre este tipo de procesos de transformación de la sacarosa en glucosa para satisfacer sus necesidades?</w:t>
      </w:r>
      <w:r>
        <w:rPr>
          <w:rFonts w:ascii="Verdana" w:hAnsi="Verdana"/>
          <w:sz w:val="20"/>
          <w:szCs w:val="20"/>
        </w:rPr>
        <w:br/>
      </w:r>
    </w:p>
    <w:p w14:paraId="10D2B97D" w14:textId="77777777" w:rsidR="002F105E" w:rsidRPr="002F105E" w:rsidRDefault="002F105E" w:rsidP="002F105E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Por último, leen y comentan un artículo que explique el problema metabólico de la intolerancia a la fructosa y lo extrapolan a otros compuestos químicos presentes en los alimentos (como la intolerancia al gluten) y que se soluciona con dietas adecuadas.</w:t>
      </w:r>
    </w:p>
    <w:p w14:paraId="7F22B9CD" w14:textId="77777777" w:rsidR="002F105E" w:rsidRPr="002F105E" w:rsidRDefault="002F105E" w:rsidP="002F105E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723ED74E" w14:textId="74C2CA6A" w:rsidR="002F105E" w:rsidRPr="002F105E" w:rsidRDefault="002F105E" w:rsidP="002F105E">
      <w:pPr>
        <w:spacing w:line="276" w:lineRule="auto"/>
        <w:ind w:left="284"/>
        <w:contextualSpacing/>
        <w:rPr>
          <w:rFonts w:ascii="Verdana" w:hAnsi="Verdana"/>
          <w:b/>
          <w:sz w:val="20"/>
          <w:szCs w:val="20"/>
        </w:rPr>
      </w:pPr>
      <w:r w:rsidRPr="002F105E">
        <w:rPr>
          <w:rFonts w:ascii="Verdana" w:hAnsi="Verdana"/>
          <w:b/>
          <w:sz w:val="20"/>
          <w:szCs w:val="20"/>
        </w:rPr>
        <w:t>Esta actividad puede relacionarse con el OA 7 de 2° medio del eje Biología mediante el siguiente ejercicio:</w:t>
      </w:r>
      <w:r>
        <w:rPr>
          <w:rFonts w:ascii="Verdana" w:hAnsi="Verdana"/>
          <w:b/>
          <w:sz w:val="20"/>
          <w:szCs w:val="20"/>
        </w:rPr>
        <w:br/>
      </w:r>
    </w:p>
    <w:p w14:paraId="6FD6CE3C" w14:textId="533329EC" w:rsidR="002F105E" w:rsidRPr="002F105E" w:rsidRDefault="002F105E" w:rsidP="002F105E">
      <w:pPr>
        <w:spacing w:line="276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105E">
        <w:rPr>
          <w:rFonts w:ascii="Verdana" w:hAnsi="Verdana"/>
          <w:sz w:val="20"/>
          <w:szCs w:val="20"/>
        </w:rPr>
        <w:t>Identifican las causas genéticas de las intolerancias mencionadas anteriormente.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14:paraId="1EB2BA3A" w14:textId="77777777" w:rsidR="002F105E" w:rsidRPr="002F105E" w:rsidRDefault="002F105E" w:rsidP="002F105E">
      <w:pPr>
        <w:spacing w:line="276" w:lineRule="auto"/>
        <w:ind w:left="284"/>
        <w:contextualSpacing/>
        <w:jc w:val="both"/>
        <w:rPr>
          <w:rFonts w:ascii="Verdana" w:hAnsi="Verdana"/>
          <w:i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F105E" w:rsidRPr="002F105E" w14:paraId="6840B235" w14:textId="77777777" w:rsidTr="002F105E">
        <w:trPr>
          <w:trHeight w:val="60"/>
        </w:trPr>
        <w:tc>
          <w:tcPr>
            <w:tcW w:w="9493" w:type="dxa"/>
          </w:tcPr>
          <w:p w14:paraId="499F023C" w14:textId="7815A6C4" w:rsidR="002F105E" w:rsidRPr="002F105E" w:rsidRDefault="002F105E" w:rsidP="000D20FF">
            <w:pPr>
              <w:spacing w:after="120" w:line="276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F105E">
              <w:rPr>
                <w:rFonts w:ascii="Verdana" w:hAnsi="Verdana"/>
                <w:b/>
                <w:sz w:val="18"/>
                <w:szCs w:val="18"/>
              </w:rPr>
              <w:lastRenderedPageBreak/>
              <w:t>Observaciones a la o el docente</w:t>
            </w:r>
          </w:p>
          <w:p w14:paraId="71ABB2DF" w14:textId="77777777" w:rsidR="002F105E" w:rsidRPr="002F105E" w:rsidRDefault="002F105E" w:rsidP="000D20FF">
            <w:pPr>
              <w:spacing w:after="120" w:line="276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425965B" w14:textId="77777777" w:rsidR="002F105E" w:rsidRPr="002F105E" w:rsidRDefault="002F105E" w:rsidP="000D20FF">
            <w:pPr>
              <w:spacing w:after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>La molécula de sacarosa se descompone en una de glucosa y otra de fructosa. Se añade bicarbonato para neutralizar el ácido clorhídrico, puesto que el precipitado de Cu</w:t>
            </w:r>
            <w:r w:rsidRPr="002F105E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2F105E">
              <w:rPr>
                <w:rFonts w:ascii="Verdana" w:hAnsi="Verdana"/>
                <w:sz w:val="18"/>
                <w:szCs w:val="18"/>
              </w:rPr>
              <w:t>O es soluble en HCl.</w:t>
            </w:r>
          </w:p>
          <w:p w14:paraId="610603BD" w14:textId="77777777" w:rsidR="002F105E" w:rsidRPr="002F105E" w:rsidRDefault="002F105E" w:rsidP="000D20FF">
            <w:pPr>
              <w:spacing w:after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>Para el reactivo de Benedict: se disuelven 10 gramos de Na</w:t>
            </w:r>
            <w:r w:rsidRPr="002F105E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2F105E">
              <w:rPr>
                <w:rFonts w:ascii="Verdana" w:hAnsi="Verdana"/>
                <w:sz w:val="18"/>
                <w:szCs w:val="18"/>
              </w:rPr>
              <w:t>CO</w:t>
            </w:r>
            <w:r w:rsidRPr="002F105E">
              <w:rPr>
                <w:rFonts w:ascii="Verdana" w:hAnsi="Verdana"/>
                <w:sz w:val="18"/>
                <w:szCs w:val="18"/>
                <w:vertAlign w:val="subscript"/>
              </w:rPr>
              <w:t>3</w:t>
            </w:r>
            <w:r w:rsidRPr="002F105E">
              <w:rPr>
                <w:rFonts w:ascii="Verdana" w:hAnsi="Verdana"/>
                <w:sz w:val="18"/>
                <w:szCs w:val="18"/>
              </w:rPr>
              <w:t>, 17,5 g de citrato de sodio y 1,73 g de CuSO</w:t>
            </w:r>
            <w:r w:rsidRPr="002F105E">
              <w:rPr>
                <w:rFonts w:ascii="Verdana" w:hAnsi="Verdana"/>
                <w:sz w:val="18"/>
                <w:szCs w:val="18"/>
                <w:vertAlign w:val="subscript"/>
              </w:rPr>
              <w:t>4</w:t>
            </w:r>
            <w:r w:rsidRPr="002F105E">
              <w:rPr>
                <w:rFonts w:ascii="Verdana" w:hAnsi="Verdana"/>
                <w:sz w:val="18"/>
                <w:szCs w:val="18"/>
              </w:rPr>
              <w:t>•5H</w:t>
            </w:r>
            <w:r w:rsidRPr="002F105E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2F105E">
              <w:rPr>
                <w:rFonts w:ascii="Verdana" w:hAnsi="Verdana"/>
                <w:sz w:val="18"/>
                <w:szCs w:val="18"/>
              </w:rPr>
              <w:t xml:space="preserve">O en 100 </w:t>
            </w:r>
            <w:proofErr w:type="spellStart"/>
            <w:r w:rsidRPr="002F105E">
              <w:rPr>
                <w:rFonts w:ascii="Verdana" w:hAnsi="Verdana"/>
                <w:sz w:val="18"/>
                <w:szCs w:val="18"/>
              </w:rPr>
              <w:t>mL</w:t>
            </w:r>
            <w:proofErr w:type="spellEnd"/>
            <w:r w:rsidRPr="002F105E">
              <w:rPr>
                <w:rFonts w:ascii="Verdana" w:hAnsi="Verdana"/>
                <w:sz w:val="18"/>
                <w:szCs w:val="18"/>
              </w:rPr>
              <w:t xml:space="preserve"> de agua destilada.</w:t>
            </w:r>
          </w:p>
          <w:p w14:paraId="3ECA4C0B" w14:textId="79C117FE" w:rsidR="002F105E" w:rsidRPr="002F105E" w:rsidRDefault="002F105E" w:rsidP="002F105E">
            <w:pPr>
              <w:spacing w:line="276" w:lineRule="auto"/>
              <w:contextualSpacing/>
              <w:rPr>
                <w:rFonts w:ascii="Verdana" w:hAnsi="Verdana"/>
                <w:sz w:val="18"/>
                <w:szCs w:val="18"/>
                <w:lang w:val="es-ES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>La o el docente puede revisar los siguientes sitios para acceder a artículos que abordan la intolerancia a la fructosa:</w:t>
            </w:r>
            <w:r w:rsidRPr="002F105E">
              <w:rPr>
                <w:rFonts w:ascii="Verdana" w:hAnsi="Verdana"/>
                <w:sz w:val="18"/>
                <w:szCs w:val="18"/>
                <w:lang w:val="es-ES"/>
              </w:rPr>
              <w:br/>
            </w:r>
          </w:p>
          <w:p w14:paraId="5FA7E43E" w14:textId="154CDC41" w:rsidR="002F105E" w:rsidRPr="002F105E" w:rsidRDefault="00427D99" w:rsidP="002F105E">
            <w:pPr>
              <w:numPr>
                <w:ilvl w:val="0"/>
                <w:numId w:val="5"/>
              </w:numPr>
              <w:spacing w:after="0" w:line="276" w:lineRule="auto"/>
              <w:ind w:left="321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2F105E" w:rsidRPr="002F105E">
                <w:rPr>
                  <w:rStyle w:val="Hipervnculo"/>
                  <w:rFonts w:ascii="Verdana" w:hAnsi="Verdana"/>
                  <w:sz w:val="18"/>
                  <w:szCs w:val="18"/>
                </w:rPr>
                <w:t>http://www.seen.es/docs/nutricion/areas-tematicas/dietoterapia/intolerancia-alimentaria.pdf</w:t>
              </w:r>
            </w:hyperlink>
          </w:p>
          <w:p w14:paraId="71D4086D" w14:textId="7FC264F4" w:rsidR="002F105E" w:rsidRPr="002F105E" w:rsidRDefault="002F105E" w:rsidP="002F105E">
            <w:pPr>
              <w:spacing w:after="0" w:line="276" w:lineRule="auto"/>
              <w:ind w:left="32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093BC1" w14:textId="40DE0038" w:rsidR="002F105E" w:rsidRPr="002F105E" w:rsidRDefault="00427D99" w:rsidP="002F105E">
            <w:pPr>
              <w:numPr>
                <w:ilvl w:val="0"/>
                <w:numId w:val="5"/>
              </w:numPr>
              <w:spacing w:after="0" w:line="276" w:lineRule="auto"/>
              <w:ind w:left="321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2F105E" w:rsidRPr="002F105E">
                <w:rPr>
                  <w:rStyle w:val="Hipervnculo"/>
                  <w:rFonts w:ascii="Verdana" w:hAnsi="Verdana"/>
                  <w:sz w:val="18"/>
                  <w:szCs w:val="18"/>
                </w:rPr>
                <w:t>http://funcionales.es/monografias/intolerancia-a-la-fructosa-y-sorbitol/</w:t>
              </w:r>
            </w:hyperlink>
          </w:p>
          <w:p w14:paraId="6E5433E8" w14:textId="40AA79A3" w:rsidR="002F105E" w:rsidRPr="002F105E" w:rsidRDefault="002F105E" w:rsidP="002F105E">
            <w:pPr>
              <w:spacing w:after="0" w:line="276" w:lineRule="auto"/>
              <w:ind w:left="32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53227C" w14:textId="6954DFAC" w:rsidR="002F105E" w:rsidRPr="002F105E" w:rsidRDefault="00427D99" w:rsidP="002F105E">
            <w:pPr>
              <w:numPr>
                <w:ilvl w:val="0"/>
                <w:numId w:val="5"/>
              </w:numPr>
              <w:spacing w:after="0" w:line="276" w:lineRule="auto"/>
              <w:ind w:left="321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2F105E" w:rsidRPr="002F105E">
                <w:rPr>
                  <w:rStyle w:val="Hipervnculo"/>
                  <w:rFonts w:ascii="Verdana" w:hAnsi="Verdana"/>
                  <w:sz w:val="18"/>
                  <w:szCs w:val="18"/>
                </w:rPr>
                <w:t>http://www.nlm.nih.gov/medlineplus/spanish/ency/article/000359.htm</w:t>
              </w:r>
            </w:hyperlink>
          </w:p>
          <w:p w14:paraId="2F58444B" w14:textId="1FBB3E56" w:rsidR="002F105E" w:rsidRPr="002F105E" w:rsidRDefault="002F105E" w:rsidP="002F105E">
            <w:pPr>
              <w:spacing w:after="0" w:line="276" w:lineRule="auto"/>
              <w:ind w:left="38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F105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39FE70CC" w14:textId="77777777" w:rsidR="002F105E" w:rsidRPr="002F105E" w:rsidRDefault="002F105E">
      <w:pPr>
        <w:rPr>
          <w:sz w:val="18"/>
          <w:szCs w:val="18"/>
        </w:rPr>
      </w:pPr>
    </w:p>
    <w:sectPr w:rsidR="002F105E" w:rsidRPr="002F1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911"/>
    <w:multiLevelType w:val="hybridMultilevel"/>
    <w:tmpl w:val="AA4E1074"/>
    <w:lvl w:ilvl="0" w:tplc="AC12A8DC">
      <w:start w:val="4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4" w:hanging="360"/>
      </w:pPr>
    </w:lvl>
    <w:lvl w:ilvl="2" w:tplc="340A001B" w:tentative="1">
      <w:start w:val="1"/>
      <w:numFmt w:val="lowerRoman"/>
      <w:lvlText w:val="%3."/>
      <w:lvlJc w:val="right"/>
      <w:pPr>
        <w:ind w:left="2234" w:hanging="180"/>
      </w:pPr>
    </w:lvl>
    <w:lvl w:ilvl="3" w:tplc="340A000F" w:tentative="1">
      <w:start w:val="1"/>
      <w:numFmt w:val="decimal"/>
      <w:lvlText w:val="%4."/>
      <w:lvlJc w:val="left"/>
      <w:pPr>
        <w:ind w:left="2954" w:hanging="360"/>
      </w:pPr>
    </w:lvl>
    <w:lvl w:ilvl="4" w:tplc="340A0019" w:tentative="1">
      <w:start w:val="1"/>
      <w:numFmt w:val="lowerLetter"/>
      <w:lvlText w:val="%5."/>
      <w:lvlJc w:val="left"/>
      <w:pPr>
        <w:ind w:left="3674" w:hanging="360"/>
      </w:pPr>
    </w:lvl>
    <w:lvl w:ilvl="5" w:tplc="340A001B" w:tentative="1">
      <w:start w:val="1"/>
      <w:numFmt w:val="lowerRoman"/>
      <w:lvlText w:val="%6."/>
      <w:lvlJc w:val="right"/>
      <w:pPr>
        <w:ind w:left="4394" w:hanging="180"/>
      </w:pPr>
    </w:lvl>
    <w:lvl w:ilvl="6" w:tplc="340A000F" w:tentative="1">
      <w:start w:val="1"/>
      <w:numFmt w:val="decimal"/>
      <w:lvlText w:val="%7."/>
      <w:lvlJc w:val="left"/>
      <w:pPr>
        <w:ind w:left="5114" w:hanging="360"/>
      </w:pPr>
    </w:lvl>
    <w:lvl w:ilvl="7" w:tplc="340A0019" w:tentative="1">
      <w:start w:val="1"/>
      <w:numFmt w:val="lowerLetter"/>
      <w:lvlText w:val="%8."/>
      <w:lvlJc w:val="left"/>
      <w:pPr>
        <w:ind w:left="5834" w:hanging="360"/>
      </w:pPr>
    </w:lvl>
    <w:lvl w:ilvl="8" w:tplc="340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43B2FBD"/>
    <w:multiLevelType w:val="hybridMultilevel"/>
    <w:tmpl w:val="1E945AC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745D3F"/>
    <w:multiLevelType w:val="hybridMultilevel"/>
    <w:tmpl w:val="9726056E"/>
    <w:lvl w:ilvl="0" w:tplc="E99C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C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F1374"/>
    <w:multiLevelType w:val="hybridMultilevel"/>
    <w:tmpl w:val="F9640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2DB4"/>
    <w:multiLevelType w:val="hybridMultilevel"/>
    <w:tmpl w:val="42202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58"/>
    <w:rsid w:val="00127EDB"/>
    <w:rsid w:val="00286252"/>
    <w:rsid w:val="002F105E"/>
    <w:rsid w:val="00427D99"/>
    <w:rsid w:val="005B3F6E"/>
    <w:rsid w:val="005C7193"/>
    <w:rsid w:val="00613B7D"/>
    <w:rsid w:val="00953A58"/>
    <w:rsid w:val="0099545B"/>
    <w:rsid w:val="00B301BA"/>
    <w:rsid w:val="00CB4834"/>
    <w:rsid w:val="00D713E3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5485"/>
  <w15:chartTrackingRefBased/>
  <w15:docId w15:val="{B2197065-05D1-44DF-83B1-396893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0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0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F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m.nih.gov/medlineplus/spanish/ency/article/0003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cionales.es/monografias/intolerancia-a-la-fructosa-y-sorbitol/" TargetMode="External"/><Relationship Id="rId5" Type="http://schemas.openxmlformats.org/officeDocument/2006/relationships/hyperlink" Target="http://www.seen.es/docs/nutricion/areas-tematicas/dietoterapia/intolerancia-alimentar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2019-05-20T17:29:00Z</dcterms:created>
  <dcterms:modified xsi:type="dcterms:W3CDTF">2019-05-20T19:09:00Z</dcterms:modified>
</cp:coreProperties>
</file>