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911" w:rsidRPr="002D2E3D" w:rsidRDefault="009F00A6" w:rsidP="009F00A6">
      <w:pPr>
        <w:autoSpaceDE w:val="0"/>
        <w:autoSpaceDN w:val="0"/>
        <w:adjustRightInd w:val="0"/>
        <w:rPr>
          <w:rFonts w:ascii="Verdana" w:hAnsi="Verdana"/>
          <w:color w:val="29C7FF"/>
          <w:sz w:val="22"/>
          <w:szCs w:val="22"/>
        </w:rPr>
      </w:pPr>
      <w:r w:rsidRPr="002D2E3D">
        <w:rPr>
          <w:rFonts w:ascii="Verdana" w:eastAsiaTheme="minorHAnsi" w:hAnsi="Verdana" w:cs="OfficinaSans-Bold"/>
          <w:bCs/>
          <w:color w:val="29C7FF"/>
          <w:sz w:val="22"/>
          <w:szCs w:val="22"/>
          <w:lang w:val="es-CL" w:eastAsia="en-US"/>
        </w:rPr>
        <w:t xml:space="preserve">Historia, Geografía y Ciencias Sociales </w:t>
      </w:r>
      <w:r w:rsidR="00601911" w:rsidRPr="002D2E3D">
        <w:rPr>
          <w:rFonts w:ascii="Verdana" w:hAnsi="Verdana"/>
          <w:color w:val="29C7FF"/>
          <w:sz w:val="22"/>
          <w:szCs w:val="22"/>
        </w:rPr>
        <w:t>1º medio / Unidad 1 / OA</w:t>
      </w:r>
      <w:r w:rsidR="00FE4E63" w:rsidRPr="002D2E3D">
        <w:rPr>
          <w:rFonts w:ascii="Verdana" w:hAnsi="Verdana"/>
          <w:color w:val="29C7FF"/>
          <w:sz w:val="22"/>
          <w:szCs w:val="22"/>
        </w:rPr>
        <w:t>2</w:t>
      </w:r>
      <w:r w:rsidR="00601911" w:rsidRPr="002D2E3D">
        <w:rPr>
          <w:rFonts w:ascii="Verdana" w:hAnsi="Verdana"/>
          <w:color w:val="29C7FF"/>
          <w:sz w:val="22"/>
          <w:szCs w:val="22"/>
        </w:rPr>
        <w:t xml:space="preserve"> / Actividad </w:t>
      </w:r>
      <w:r w:rsidR="002D2E3D" w:rsidRPr="002D2E3D">
        <w:rPr>
          <w:rFonts w:ascii="Verdana" w:hAnsi="Verdana"/>
          <w:color w:val="29C7FF"/>
          <w:sz w:val="22"/>
          <w:szCs w:val="22"/>
        </w:rPr>
        <w:t>1</w:t>
      </w:r>
    </w:p>
    <w:p w:rsidR="002D2E3D" w:rsidRPr="002D2E3D" w:rsidRDefault="002D2E3D" w:rsidP="009F00A6">
      <w:pPr>
        <w:autoSpaceDE w:val="0"/>
        <w:autoSpaceDN w:val="0"/>
        <w:adjustRightInd w:val="0"/>
        <w:rPr>
          <w:rFonts w:ascii="Verdana" w:hAnsi="Verdana"/>
          <w:color w:val="29C7FF"/>
          <w:sz w:val="22"/>
          <w:szCs w:val="22"/>
        </w:rPr>
      </w:pPr>
    </w:p>
    <w:p w:rsidR="002D2E3D" w:rsidRDefault="002D2E3D" w:rsidP="009F00A6">
      <w:pPr>
        <w:autoSpaceDE w:val="0"/>
        <w:autoSpaceDN w:val="0"/>
        <w:adjustRightInd w:val="0"/>
        <w:rPr>
          <w:rFonts w:ascii="Verdana" w:hAnsi="Verdana"/>
          <w:color w:val="7CEDFC"/>
          <w:sz w:val="22"/>
          <w:szCs w:val="22"/>
        </w:rPr>
      </w:pPr>
    </w:p>
    <w:p w:rsidR="002D2E3D" w:rsidRPr="002D2E3D" w:rsidRDefault="002D2E3D" w:rsidP="002D2E3D">
      <w:pPr>
        <w:spacing w:after="120"/>
        <w:ind w:left="426" w:hanging="426"/>
        <w:rPr>
          <w:rFonts w:ascii="Verdana" w:hAnsi="Verdana"/>
          <w:sz w:val="20"/>
          <w:szCs w:val="20"/>
        </w:rPr>
      </w:pPr>
      <w:r w:rsidRPr="00724D0B">
        <w:rPr>
          <w:szCs w:val="18"/>
        </w:rPr>
        <w:t>1.</w:t>
      </w:r>
      <w:r w:rsidRPr="00724D0B">
        <w:rPr>
          <w:szCs w:val="18"/>
        </w:rPr>
        <w:tab/>
      </w:r>
      <w:r w:rsidRPr="002D2E3D">
        <w:rPr>
          <w:rFonts w:ascii="Verdana" w:hAnsi="Verdana"/>
          <w:sz w:val="20"/>
          <w:szCs w:val="20"/>
        </w:rPr>
        <w:t xml:space="preserve">Con la orientación del o la docente, las y los estudiantes abordan el concepto de burguesía. Para ello, recuperan sus aprendizajes de cursos anteriores y los sistematizan, analizando las características generales de este sector social a comienzos del siglo XIX. A continuación, analizan el rol de la burguesía durante este siglo a partir del estudio de diferentes fuentes primarias propuestas por el o la docente. Puede sugerir las que se indican a continuación (Fuentes 1, 2 y 3). </w:t>
      </w:r>
    </w:p>
    <w:p w:rsidR="002D2E3D" w:rsidRPr="002D2E3D" w:rsidRDefault="002D2E3D" w:rsidP="002D2E3D">
      <w:pPr>
        <w:ind w:left="426"/>
        <w:rPr>
          <w:rFonts w:ascii="Verdana" w:eastAsia="Calibri" w:hAnsi="Verdana"/>
          <w:sz w:val="20"/>
          <w:szCs w:val="20"/>
          <w:shd w:val="clear" w:color="auto" w:fill="FFFFFF"/>
          <w:lang w:eastAsia="en-US"/>
        </w:rPr>
      </w:pPr>
      <w:r w:rsidRPr="002D2E3D">
        <w:rPr>
          <w:rFonts w:ascii="Verdana" w:eastAsia="Calibri" w:hAnsi="Verdana"/>
          <w:sz w:val="20"/>
          <w:szCs w:val="20"/>
          <w:shd w:val="clear" w:color="auto" w:fill="FFFFFF"/>
          <w:lang w:eastAsia="en-US"/>
        </w:rPr>
        <w:t>Tras una breve contextualización de las fuentes, las y los estudiantes responden preguntas como las siguientes:</w:t>
      </w:r>
      <w:r>
        <w:rPr>
          <w:rFonts w:ascii="Verdana" w:eastAsia="Calibri" w:hAnsi="Verdana"/>
          <w:sz w:val="20"/>
          <w:szCs w:val="20"/>
          <w:shd w:val="clear" w:color="auto" w:fill="FFFFFF"/>
          <w:lang w:eastAsia="en-US"/>
        </w:rPr>
        <w:br/>
      </w:r>
    </w:p>
    <w:p w:rsidR="002D2E3D" w:rsidRPr="002D2E3D" w:rsidRDefault="002D2E3D" w:rsidP="002D2E3D">
      <w:pPr>
        <w:numPr>
          <w:ilvl w:val="0"/>
          <w:numId w:val="1"/>
        </w:numPr>
        <w:spacing w:after="120" w:line="276" w:lineRule="auto"/>
        <w:ind w:left="993" w:hanging="284"/>
        <w:contextualSpacing/>
        <w:jc w:val="both"/>
        <w:rPr>
          <w:rFonts w:ascii="Verdana" w:eastAsia="Calibri" w:hAnsi="Verdana"/>
          <w:sz w:val="20"/>
          <w:szCs w:val="20"/>
          <w:shd w:val="clear" w:color="auto" w:fill="FFFFFF"/>
          <w:lang w:eastAsia="en-US"/>
        </w:rPr>
      </w:pPr>
      <w:r w:rsidRPr="002D2E3D">
        <w:rPr>
          <w:rFonts w:ascii="Verdana" w:eastAsia="Calibri" w:hAnsi="Verdana"/>
          <w:sz w:val="20"/>
          <w:szCs w:val="20"/>
          <w:shd w:val="clear" w:color="auto" w:fill="FFFFFF"/>
          <w:lang w:eastAsia="en-US"/>
        </w:rPr>
        <w:t>¿Qué dicen las fuentes sobre la burguesía? Señalen las principales características que se asocian a ella en los textos.</w:t>
      </w:r>
    </w:p>
    <w:p w:rsidR="002D2E3D" w:rsidRPr="002D2E3D" w:rsidRDefault="002D2E3D" w:rsidP="002D2E3D">
      <w:pPr>
        <w:numPr>
          <w:ilvl w:val="0"/>
          <w:numId w:val="1"/>
        </w:numPr>
        <w:spacing w:after="120" w:line="276" w:lineRule="auto"/>
        <w:ind w:left="993" w:hanging="284"/>
        <w:contextualSpacing/>
        <w:jc w:val="both"/>
        <w:rPr>
          <w:rFonts w:ascii="Verdana" w:eastAsia="Calibri" w:hAnsi="Verdana"/>
          <w:sz w:val="20"/>
          <w:szCs w:val="20"/>
          <w:shd w:val="clear" w:color="auto" w:fill="FFFFFF"/>
          <w:lang w:eastAsia="en-US"/>
        </w:rPr>
      </w:pPr>
      <w:r w:rsidRPr="002D2E3D">
        <w:rPr>
          <w:rFonts w:ascii="Verdana" w:eastAsia="Calibri" w:hAnsi="Verdana"/>
          <w:sz w:val="20"/>
          <w:szCs w:val="20"/>
          <w:shd w:val="clear" w:color="auto" w:fill="FFFFFF"/>
          <w:lang w:eastAsia="en-US"/>
        </w:rPr>
        <w:t>¿Cuál fue el rol que cumplió la burguesía durante el siglo XIX, según lo que se señala en las fuentes?</w:t>
      </w:r>
    </w:p>
    <w:p w:rsidR="002D2E3D" w:rsidRPr="002D2E3D" w:rsidRDefault="002D2E3D" w:rsidP="002D2E3D">
      <w:pPr>
        <w:numPr>
          <w:ilvl w:val="0"/>
          <w:numId w:val="1"/>
        </w:numPr>
        <w:spacing w:after="120" w:line="276" w:lineRule="auto"/>
        <w:ind w:left="993" w:hanging="284"/>
        <w:contextualSpacing/>
        <w:jc w:val="both"/>
        <w:rPr>
          <w:rFonts w:ascii="Verdana" w:eastAsia="Calibri" w:hAnsi="Verdana"/>
          <w:sz w:val="20"/>
          <w:szCs w:val="20"/>
          <w:shd w:val="clear" w:color="auto" w:fill="FFFFFF"/>
          <w:lang w:eastAsia="en-US"/>
        </w:rPr>
      </w:pPr>
      <w:r w:rsidRPr="002D2E3D">
        <w:rPr>
          <w:rFonts w:ascii="Verdana" w:eastAsia="Calibri" w:hAnsi="Verdana"/>
          <w:sz w:val="20"/>
          <w:szCs w:val="20"/>
          <w:shd w:val="clear" w:color="auto" w:fill="FFFFFF"/>
          <w:lang w:eastAsia="en-US"/>
        </w:rPr>
        <w:t xml:space="preserve">La visión que entregan las fuentes, ¿es crítica de la burguesía o es favorable a ella? Argumenten. </w:t>
      </w:r>
    </w:p>
    <w:p w:rsidR="002D2E3D" w:rsidRPr="002D2E3D" w:rsidRDefault="002D2E3D" w:rsidP="002D2E3D">
      <w:pPr>
        <w:spacing w:before="240"/>
        <w:ind w:left="426"/>
        <w:rPr>
          <w:rFonts w:ascii="Verdana" w:eastAsia="Calibri" w:hAnsi="Verdana"/>
          <w:sz w:val="20"/>
          <w:szCs w:val="20"/>
          <w:shd w:val="clear" w:color="auto" w:fill="FFFFFF"/>
          <w:lang w:eastAsia="en-US"/>
        </w:rPr>
      </w:pPr>
      <w:r w:rsidRPr="002D2E3D">
        <w:rPr>
          <w:rFonts w:ascii="Verdana" w:eastAsia="Calibri" w:hAnsi="Verdana"/>
          <w:sz w:val="20"/>
          <w:szCs w:val="20"/>
          <w:shd w:val="clear" w:color="auto" w:fill="FFFFFF"/>
          <w:lang w:eastAsia="en-US"/>
        </w:rPr>
        <w:t>Luego comparten con el curso sus respuestas y sistematizan sus conclusiones. Asimismo, reflexionan sobre los elementos que aportan las fuentes primarias para conocer las percepciones sobre los sujetos y su rol en la sociedad de una época.</w:t>
      </w:r>
    </w:p>
    <w:p w:rsidR="002D2E3D" w:rsidRPr="002D2E3D" w:rsidRDefault="002D2E3D" w:rsidP="002D2E3D">
      <w:pPr>
        <w:ind w:left="426"/>
        <w:rPr>
          <w:rFonts w:ascii="Verdana" w:eastAsia="Calibri" w:hAnsi="Verdana"/>
          <w:sz w:val="20"/>
          <w:szCs w:val="20"/>
          <w:shd w:val="clear" w:color="auto" w:fill="FFFFFF"/>
          <w:lang w:eastAsia="en-US"/>
        </w:rPr>
      </w:pPr>
    </w:p>
    <w:p w:rsidR="002D2E3D" w:rsidRPr="002D2E3D" w:rsidRDefault="002D2E3D" w:rsidP="002D2E3D">
      <w:pPr>
        <w:ind w:left="426"/>
        <w:rPr>
          <w:rFonts w:ascii="Verdana" w:eastAsia="Calibri" w:hAnsi="Verdana"/>
          <w:sz w:val="20"/>
          <w:szCs w:val="20"/>
          <w:shd w:val="clear" w:color="auto" w:fill="FFFFFF"/>
          <w:lang w:eastAsia="en-US"/>
        </w:rPr>
      </w:pPr>
      <w:r w:rsidRPr="002D2E3D">
        <w:rPr>
          <w:rFonts w:ascii="Verdana" w:eastAsia="Calibri" w:hAnsi="Verdana"/>
          <w:sz w:val="20"/>
          <w:szCs w:val="20"/>
          <w:shd w:val="clear" w:color="auto" w:fill="FFFFFF"/>
          <w:lang w:eastAsia="en-US"/>
        </w:rPr>
        <w:t>Fuente 1</w:t>
      </w:r>
    </w:p>
    <w:p w:rsidR="002D2E3D" w:rsidRPr="002D2E3D" w:rsidRDefault="002D2E3D" w:rsidP="002D2E3D">
      <w:pPr>
        <w:ind w:left="426"/>
        <w:rPr>
          <w:rFonts w:ascii="Verdana" w:eastAsia="Calibri" w:hAnsi="Verdana"/>
          <w:sz w:val="20"/>
          <w:szCs w:val="20"/>
          <w:shd w:val="clear" w:color="auto" w:fill="FFFFFF"/>
          <w:lang w:eastAsia="en-US"/>
        </w:rPr>
      </w:pPr>
    </w:p>
    <w:p w:rsidR="002D2E3D" w:rsidRPr="002D2E3D" w:rsidRDefault="002D2E3D" w:rsidP="002D2E3D">
      <w:pPr>
        <w:spacing w:after="120"/>
        <w:ind w:left="426"/>
        <w:rPr>
          <w:rFonts w:ascii="Verdana" w:eastAsia="Calibri" w:hAnsi="Verdana"/>
          <w:sz w:val="20"/>
          <w:szCs w:val="20"/>
          <w:shd w:val="clear" w:color="auto" w:fill="FFFFFF"/>
          <w:lang w:eastAsia="en-US"/>
        </w:rPr>
      </w:pPr>
      <w:r w:rsidRPr="002D2E3D">
        <w:rPr>
          <w:rFonts w:ascii="Verdana" w:eastAsia="Calibri" w:hAnsi="Verdana"/>
          <w:sz w:val="20"/>
          <w:szCs w:val="20"/>
          <w:shd w:val="clear" w:color="auto" w:fill="FFFFFF"/>
          <w:lang w:eastAsia="en-US"/>
        </w:rPr>
        <w:t>Es universalmente conocido el rápido y milagroso desarrollo, en estos últimos años, de las industrias y del comercio en nuestro país, como son también conocidos los efectos del progreso sobre la renta y sobre la fuerza de la nación; y si se consideran causas inmediatas de este incremento, resultará claro que, después del favor de la Providencia, deberá ser atribuido sobre todo al espíritu de empresa y a la industriosa actividad difundidos en un pueblo libre e instruido, al cual se le ha permitido ejercitar sin restricciones sus talentos en el empleo de un vasto capital; impulsando al máximo el principio de la división del trabajo; poniendo en contribución todos los recursos de la investigación científica y de la ingeniosidad mecánica (…).</w:t>
      </w:r>
    </w:p>
    <w:p w:rsidR="002D2E3D" w:rsidRPr="002D2E3D" w:rsidRDefault="002D2E3D" w:rsidP="002D2E3D">
      <w:pPr>
        <w:ind w:left="567"/>
        <w:jc w:val="right"/>
        <w:rPr>
          <w:rFonts w:ascii="Verdana" w:eastAsia="Calibri" w:hAnsi="Verdana"/>
          <w:sz w:val="20"/>
          <w:szCs w:val="20"/>
          <w:shd w:val="clear" w:color="auto" w:fill="FFFFFF"/>
          <w:lang w:eastAsia="en-US"/>
        </w:rPr>
      </w:pPr>
      <w:r w:rsidRPr="002D2E3D">
        <w:rPr>
          <w:rFonts w:ascii="Verdana" w:eastAsia="Calibri" w:hAnsi="Verdana"/>
          <w:sz w:val="20"/>
          <w:szCs w:val="20"/>
          <w:shd w:val="clear" w:color="auto" w:fill="FFFFFF"/>
          <w:lang w:eastAsia="en-US"/>
        </w:rPr>
        <w:t>Informe de Comisión de la Cámara de los Comunes sobre la expansión de la industria de lana, Londres, 1806.</w:t>
      </w:r>
    </w:p>
    <w:p w:rsidR="002D2E3D" w:rsidRPr="002D2E3D" w:rsidRDefault="002D2E3D" w:rsidP="002D2E3D">
      <w:pPr>
        <w:ind w:left="426"/>
        <w:rPr>
          <w:rFonts w:ascii="Verdana" w:eastAsia="Calibri" w:hAnsi="Verdana"/>
          <w:sz w:val="20"/>
          <w:szCs w:val="20"/>
          <w:shd w:val="clear" w:color="auto" w:fill="FFFFFF"/>
          <w:lang w:eastAsia="en-US"/>
        </w:rPr>
      </w:pPr>
    </w:p>
    <w:p w:rsidR="002D2E3D" w:rsidRPr="002D2E3D" w:rsidRDefault="002D2E3D" w:rsidP="002D2E3D">
      <w:pPr>
        <w:spacing w:after="120"/>
        <w:ind w:left="426"/>
        <w:rPr>
          <w:rFonts w:ascii="Verdana" w:eastAsia="Calibri" w:hAnsi="Verdana"/>
          <w:sz w:val="20"/>
          <w:szCs w:val="20"/>
          <w:shd w:val="clear" w:color="auto" w:fill="FFFFFF"/>
          <w:lang w:eastAsia="en-US"/>
        </w:rPr>
      </w:pPr>
      <w:r w:rsidRPr="002D2E3D">
        <w:rPr>
          <w:rFonts w:ascii="Verdana" w:eastAsia="Calibri" w:hAnsi="Verdana"/>
          <w:sz w:val="20"/>
          <w:szCs w:val="20"/>
          <w:shd w:val="clear" w:color="auto" w:fill="FFFFFF"/>
          <w:lang w:eastAsia="en-US"/>
        </w:rPr>
        <w:t>Fuente 2</w:t>
      </w:r>
    </w:p>
    <w:p w:rsidR="002D2E3D" w:rsidRPr="002D2E3D" w:rsidRDefault="002D2E3D" w:rsidP="002D2E3D">
      <w:pPr>
        <w:ind w:left="426"/>
        <w:rPr>
          <w:rFonts w:ascii="Verdana" w:eastAsia="Calibri" w:hAnsi="Verdana"/>
          <w:sz w:val="20"/>
          <w:szCs w:val="20"/>
          <w:shd w:val="clear" w:color="auto" w:fill="FFFFFF"/>
          <w:lang w:eastAsia="en-US"/>
        </w:rPr>
      </w:pPr>
      <w:r w:rsidRPr="002D2E3D">
        <w:rPr>
          <w:rFonts w:ascii="Verdana" w:eastAsia="Calibri" w:hAnsi="Verdana"/>
          <w:sz w:val="20"/>
          <w:szCs w:val="20"/>
          <w:shd w:val="clear" w:color="auto" w:fill="FFFFFF"/>
          <w:lang w:eastAsia="en-US"/>
        </w:rPr>
        <w:t xml:space="preserve">La burguesía domina. Ella es la nueva aristocracia, la nobleza del siglo XIX. (...) La burguesía domina porque maneja todas las fuerzas sociales; porque posee las fuentes de riqueza, los instrumentos de trabajo, el crédito. El gobierno es tributario suyo, igual que la nación. Por ella el pueblo vive; por ella muere. Ella es, en fin, señora y reina del mundo social. Este dominio está consagrado, proclamado por las instituciones políticas. Es la burguesía quien hace la ley y quien la aplica. </w:t>
      </w:r>
    </w:p>
    <w:p w:rsidR="002D2E3D" w:rsidRPr="002D2E3D" w:rsidRDefault="002D2E3D" w:rsidP="002D2E3D">
      <w:pPr>
        <w:ind w:left="567"/>
        <w:jc w:val="right"/>
        <w:rPr>
          <w:rFonts w:ascii="Verdana" w:eastAsia="Calibri" w:hAnsi="Verdana"/>
          <w:sz w:val="20"/>
          <w:szCs w:val="20"/>
          <w:lang w:eastAsia="en-US"/>
        </w:rPr>
      </w:pPr>
      <w:proofErr w:type="spellStart"/>
      <w:r w:rsidRPr="002D2E3D">
        <w:rPr>
          <w:rFonts w:ascii="Verdana" w:eastAsia="Calibri" w:hAnsi="Verdana"/>
          <w:bCs/>
          <w:sz w:val="20"/>
          <w:szCs w:val="20"/>
          <w:shd w:val="clear" w:color="auto" w:fill="FFFFFF"/>
          <w:lang w:eastAsia="en-US"/>
        </w:rPr>
        <w:t>Duclerc</w:t>
      </w:r>
      <w:proofErr w:type="spellEnd"/>
      <w:r w:rsidRPr="002D2E3D">
        <w:rPr>
          <w:rFonts w:ascii="Verdana" w:eastAsia="Calibri" w:hAnsi="Verdana"/>
          <w:bCs/>
          <w:sz w:val="20"/>
          <w:szCs w:val="20"/>
          <w:shd w:val="clear" w:color="auto" w:fill="FFFFFF"/>
          <w:lang w:eastAsia="en-US"/>
        </w:rPr>
        <w:t xml:space="preserve">, E. </w:t>
      </w:r>
      <w:r w:rsidRPr="002D2E3D">
        <w:rPr>
          <w:rFonts w:ascii="Verdana" w:eastAsia="Calibri" w:hAnsi="Verdana"/>
          <w:bCs/>
          <w:i/>
          <w:sz w:val="20"/>
          <w:szCs w:val="20"/>
          <w:shd w:val="clear" w:color="auto" w:fill="FFFFFF"/>
          <w:lang w:eastAsia="en-US"/>
        </w:rPr>
        <w:t>Diccionario político y enciclopédico</w:t>
      </w:r>
      <w:r w:rsidRPr="002D2E3D">
        <w:rPr>
          <w:rFonts w:ascii="Verdana" w:eastAsia="Calibri" w:hAnsi="Verdana"/>
          <w:bCs/>
          <w:sz w:val="20"/>
          <w:szCs w:val="20"/>
          <w:shd w:val="clear" w:color="auto" w:fill="FFFFFF"/>
          <w:lang w:eastAsia="en-US"/>
        </w:rPr>
        <w:t>. París, 1842.</w:t>
      </w:r>
    </w:p>
    <w:p w:rsidR="002D2E3D" w:rsidRPr="002D2E3D" w:rsidRDefault="002D2E3D" w:rsidP="002D2E3D">
      <w:pPr>
        <w:shd w:val="clear" w:color="auto" w:fill="FFFFFF"/>
        <w:ind w:left="426"/>
        <w:rPr>
          <w:rFonts w:ascii="Verdana" w:hAnsi="Verdana"/>
          <w:sz w:val="20"/>
          <w:szCs w:val="20"/>
          <w:lang w:val="es-CL" w:eastAsia="es-CL"/>
        </w:rPr>
      </w:pPr>
    </w:p>
    <w:p w:rsidR="002D2E3D" w:rsidRDefault="002D2E3D">
      <w:pPr>
        <w:spacing w:after="160" w:line="259" w:lineRule="auto"/>
        <w:rPr>
          <w:rFonts w:ascii="Verdana" w:hAnsi="Verdana"/>
          <w:sz w:val="20"/>
          <w:szCs w:val="20"/>
          <w:lang w:eastAsia="es-CL"/>
        </w:rPr>
      </w:pPr>
      <w:r>
        <w:rPr>
          <w:rFonts w:ascii="Verdana" w:hAnsi="Verdana"/>
          <w:sz w:val="20"/>
          <w:szCs w:val="20"/>
          <w:lang w:eastAsia="es-CL"/>
        </w:rPr>
        <w:br w:type="page"/>
      </w:r>
    </w:p>
    <w:p w:rsidR="002D2E3D" w:rsidRPr="002D2E3D" w:rsidRDefault="002D2E3D" w:rsidP="002D2E3D">
      <w:pPr>
        <w:shd w:val="clear" w:color="auto" w:fill="FFFFFF"/>
        <w:ind w:left="426"/>
        <w:rPr>
          <w:rFonts w:ascii="Verdana" w:hAnsi="Verdana"/>
          <w:sz w:val="20"/>
          <w:szCs w:val="20"/>
          <w:lang w:val="es-CL" w:eastAsia="es-CL"/>
        </w:rPr>
      </w:pPr>
      <w:r w:rsidRPr="002D2E3D">
        <w:rPr>
          <w:rFonts w:ascii="Verdana" w:hAnsi="Verdana"/>
          <w:sz w:val="20"/>
          <w:szCs w:val="20"/>
          <w:lang w:val="es-CL" w:eastAsia="es-CL"/>
        </w:rPr>
        <w:lastRenderedPageBreak/>
        <w:t>Fuente 3</w:t>
      </w:r>
    </w:p>
    <w:p w:rsidR="002D2E3D" w:rsidRPr="002D2E3D" w:rsidRDefault="002D2E3D" w:rsidP="002D2E3D">
      <w:pPr>
        <w:shd w:val="clear" w:color="auto" w:fill="FFFFFF"/>
        <w:ind w:left="426"/>
        <w:rPr>
          <w:rFonts w:ascii="Verdana" w:hAnsi="Verdana"/>
          <w:sz w:val="20"/>
          <w:szCs w:val="20"/>
          <w:lang w:val="es-CL" w:eastAsia="es-CL"/>
        </w:rPr>
      </w:pPr>
    </w:p>
    <w:p w:rsidR="002D2E3D" w:rsidRPr="002D2E3D" w:rsidRDefault="002D2E3D" w:rsidP="002D2E3D">
      <w:pPr>
        <w:shd w:val="clear" w:color="auto" w:fill="FFFFFF"/>
        <w:ind w:left="426"/>
        <w:rPr>
          <w:rFonts w:ascii="Verdana" w:hAnsi="Verdana"/>
          <w:sz w:val="20"/>
          <w:szCs w:val="20"/>
          <w:lang w:val="es-CL" w:eastAsia="es-CL"/>
        </w:rPr>
      </w:pPr>
      <w:r w:rsidRPr="002D2E3D">
        <w:rPr>
          <w:rFonts w:ascii="Verdana" w:hAnsi="Verdana"/>
          <w:sz w:val="20"/>
          <w:szCs w:val="20"/>
          <w:lang w:val="es-CL" w:eastAsia="es-CL"/>
        </w:rPr>
        <w:t xml:space="preserve">La burguesía ha sometido el campo a la dominación de la ciudad. Ha creado ciudades enormes, ha incrementado en alto grado el número de la población urbana </w:t>
      </w:r>
      <w:proofErr w:type="gramStart"/>
      <w:r w:rsidRPr="002D2E3D">
        <w:rPr>
          <w:rFonts w:ascii="Verdana" w:hAnsi="Verdana"/>
          <w:sz w:val="20"/>
          <w:szCs w:val="20"/>
          <w:lang w:val="es-CL" w:eastAsia="es-CL"/>
        </w:rPr>
        <w:t>en relación a</w:t>
      </w:r>
      <w:proofErr w:type="gramEnd"/>
      <w:r w:rsidRPr="002D2E3D">
        <w:rPr>
          <w:rFonts w:ascii="Verdana" w:hAnsi="Verdana"/>
          <w:sz w:val="20"/>
          <w:szCs w:val="20"/>
          <w:lang w:val="es-CL" w:eastAsia="es-CL"/>
        </w:rPr>
        <w:t xml:space="preserve"> la rural. Ha hecho depender a los países bárbaros y </w:t>
      </w:r>
      <w:proofErr w:type="spellStart"/>
      <w:r w:rsidRPr="002D2E3D">
        <w:rPr>
          <w:rFonts w:ascii="Verdana" w:hAnsi="Verdana"/>
          <w:sz w:val="20"/>
          <w:szCs w:val="20"/>
          <w:lang w:val="es-CL" w:eastAsia="es-CL"/>
        </w:rPr>
        <w:t>semibárbaros</w:t>
      </w:r>
      <w:proofErr w:type="spellEnd"/>
      <w:r w:rsidRPr="002D2E3D">
        <w:rPr>
          <w:rFonts w:ascii="Verdana" w:hAnsi="Verdana"/>
          <w:sz w:val="20"/>
          <w:szCs w:val="20"/>
          <w:lang w:val="es-CL" w:eastAsia="es-CL"/>
        </w:rPr>
        <w:t xml:space="preserve"> de los civilizados, a los pueblos campesinos de los pueblos burgueses, al Oriente del Occidente. La burguesía va superando cada vez más la fragmentación de los medios de producción, de la propiedad y de la población. Ha centralizado los medios de producción y ha concentrado la propiedad en unas pocas manos.</w:t>
      </w:r>
    </w:p>
    <w:p w:rsidR="002D2E3D" w:rsidRPr="002D2E3D" w:rsidRDefault="002D2E3D" w:rsidP="002D2E3D">
      <w:pPr>
        <w:shd w:val="clear" w:color="auto" w:fill="FFFFFF"/>
        <w:ind w:left="567"/>
        <w:jc w:val="right"/>
        <w:rPr>
          <w:rFonts w:ascii="Verdana" w:hAnsi="Verdana"/>
          <w:bCs/>
          <w:sz w:val="20"/>
          <w:szCs w:val="20"/>
          <w:lang w:val="es-CL" w:eastAsia="es-CL"/>
        </w:rPr>
      </w:pPr>
      <w:r w:rsidRPr="002D2E3D">
        <w:rPr>
          <w:rFonts w:ascii="Verdana" w:hAnsi="Verdana"/>
          <w:bCs/>
          <w:sz w:val="20"/>
          <w:szCs w:val="20"/>
          <w:lang w:val="es-CL" w:eastAsia="es-CL"/>
        </w:rPr>
        <w:t xml:space="preserve">Marx y Engels. </w:t>
      </w:r>
      <w:r w:rsidRPr="002D2E3D">
        <w:rPr>
          <w:rFonts w:ascii="Verdana" w:hAnsi="Verdana"/>
          <w:bCs/>
          <w:i/>
          <w:sz w:val="20"/>
          <w:szCs w:val="20"/>
          <w:lang w:val="es-CL" w:eastAsia="es-CL"/>
        </w:rPr>
        <w:t>Manifiesto del Partido Comunista</w:t>
      </w:r>
      <w:r w:rsidRPr="002D2E3D">
        <w:rPr>
          <w:rFonts w:ascii="Verdana" w:hAnsi="Verdana"/>
          <w:bCs/>
          <w:sz w:val="20"/>
          <w:szCs w:val="20"/>
          <w:lang w:val="es-CL" w:eastAsia="es-CL"/>
        </w:rPr>
        <w:t>, 1848.</w:t>
      </w:r>
    </w:p>
    <w:p w:rsidR="002D2E3D" w:rsidRPr="002D2E3D" w:rsidRDefault="002D2E3D" w:rsidP="002D2E3D">
      <w:pPr>
        <w:shd w:val="clear" w:color="auto" w:fill="FFFFFF"/>
        <w:spacing w:after="120"/>
        <w:rPr>
          <w:rFonts w:ascii="Verdana" w:hAnsi="Verdana"/>
          <w:bCs/>
          <w:sz w:val="20"/>
          <w:szCs w:val="20"/>
          <w:lang w:val="es-CL" w:eastAsia="es-CL"/>
        </w:rPr>
      </w:pPr>
    </w:p>
    <w:p w:rsidR="002D2E3D" w:rsidRPr="002D2E3D" w:rsidRDefault="002D2E3D" w:rsidP="002D2E3D">
      <w:pPr>
        <w:pBdr>
          <w:top w:val="single" w:sz="4" w:space="1" w:color="auto"/>
          <w:left w:val="single" w:sz="4" w:space="4" w:color="auto"/>
          <w:bottom w:val="single" w:sz="4" w:space="1" w:color="auto"/>
          <w:right w:val="single" w:sz="4" w:space="4" w:color="auto"/>
        </w:pBdr>
        <w:shd w:val="clear" w:color="auto" w:fill="FFFFFF"/>
        <w:spacing w:after="120"/>
        <w:ind w:left="284" w:hanging="284"/>
        <w:rPr>
          <w:rFonts w:ascii="Verdana" w:hAnsi="Verdana"/>
          <w:b/>
          <w:bCs/>
          <w:color w:val="43CEFF"/>
          <w:sz w:val="20"/>
          <w:szCs w:val="20"/>
          <w:lang w:val="es-CL" w:eastAsia="es-CL"/>
        </w:rPr>
      </w:pPr>
      <w:r w:rsidRPr="002D2E3D">
        <w:rPr>
          <w:rFonts w:ascii="Verdana" w:hAnsi="Verdana"/>
          <w:b/>
          <w:bCs/>
          <w:color w:val="43CEFF"/>
          <w:sz w:val="20"/>
          <w:szCs w:val="20"/>
          <w:lang w:val="es-CL" w:eastAsia="es-CL"/>
        </w:rPr>
        <w:t>Observaciones a la o el docente</w:t>
      </w:r>
    </w:p>
    <w:p w:rsidR="002D2E3D" w:rsidRPr="002D2E3D" w:rsidRDefault="002D2E3D" w:rsidP="002D2E3D">
      <w:pPr>
        <w:pBdr>
          <w:top w:val="single" w:sz="4" w:space="1" w:color="auto"/>
          <w:left w:val="single" w:sz="4" w:space="4" w:color="auto"/>
          <w:bottom w:val="single" w:sz="4" w:space="1" w:color="auto"/>
          <w:right w:val="single" w:sz="4" w:space="4" w:color="auto"/>
        </w:pBdr>
        <w:shd w:val="clear" w:color="auto" w:fill="FFFFFF"/>
        <w:spacing w:after="120"/>
        <w:rPr>
          <w:rFonts w:ascii="Verdana" w:hAnsi="Verdana"/>
          <w:bCs/>
          <w:sz w:val="20"/>
          <w:szCs w:val="20"/>
          <w:lang w:val="es-CL" w:eastAsia="es-CL"/>
        </w:rPr>
      </w:pPr>
      <w:r w:rsidRPr="002D2E3D">
        <w:rPr>
          <w:rFonts w:ascii="Verdana" w:hAnsi="Verdana"/>
          <w:bCs/>
          <w:sz w:val="20"/>
          <w:szCs w:val="20"/>
          <w:lang w:val="es-CL" w:eastAsia="es-CL"/>
        </w:rPr>
        <w:t xml:space="preserve">Esta actividad también puede orientarse hacia el trabajo con fuentes secundarias, proponiendo textos historiográficos que muestren diferentes aspectos del rol de la burguesía del siglo XIX. En ese caso, puede abordarse como habilidad el trabajo con distintas interpretaciones historiográficas sobre el papel de la burguesía. </w:t>
      </w:r>
    </w:p>
    <w:p w:rsidR="002D2E3D" w:rsidRPr="002D2E3D" w:rsidRDefault="002D2E3D" w:rsidP="002D2E3D">
      <w:pPr>
        <w:pBdr>
          <w:top w:val="single" w:sz="4" w:space="1" w:color="auto"/>
          <w:left w:val="single" w:sz="4" w:space="4" w:color="auto"/>
          <w:bottom w:val="single" w:sz="4" w:space="1" w:color="auto"/>
          <w:right w:val="single" w:sz="4" w:space="4" w:color="auto"/>
        </w:pBdr>
        <w:shd w:val="clear" w:color="auto" w:fill="FFFFFF"/>
        <w:spacing w:after="120"/>
        <w:rPr>
          <w:rFonts w:ascii="Verdana" w:hAnsi="Verdana"/>
          <w:bCs/>
          <w:sz w:val="20"/>
          <w:szCs w:val="20"/>
          <w:lang w:val="es-CL" w:eastAsia="es-CL"/>
        </w:rPr>
      </w:pPr>
      <w:r w:rsidRPr="002D2E3D">
        <w:rPr>
          <w:rFonts w:ascii="Verdana" w:hAnsi="Verdana"/>
          <w:bCs/>
          <w:sz w:val="20"/>
          <w:szCs w:val="20"/>
          <w:lang w:val="es-CL" w:eastAsia="es-CL"/>
        </w:rPr>
        <w:t>Para el análisis de las fuentes primarias, es importante que las y los estudiantes puedan contextualizarlas y problematizar su origen y autor. La ejecución de estos pasos previos les permitirá analizar mejor el contenido de la fuente.</w:t>
      </w:r>
    </w:p>
    <w:p w:rsidR="002D2E3D" w:rsidRDefault="002D2E3D" w:rsidP="002D2E3D">
      <w:pPr>
        <w:pBdr>
          <w:top w:val="single" w:sz="4" w:space="1" w:color="auto"/>
          <w:left w:val="single" w:sz="4" w:space="4" w:color="auto"/>
          <w:bottom w:val="single" w:sz="4" w:space="1" w:color="auto"/>
          <w:right w:val="single" w:sz="4" w:space="4" w:color="auto"/>
        </w:pBdr>
        <w:shd w:val="clear" w:color="auto" w:fill="FFFFFF"/>
        <w:spacing w:after="120"/>
        <w:rPr>
          <w:rFonts w:ascii="Verdana" w:hAnsi="Verdana"/>
          <w:bCs/>
          <w:sz w:val="20"/>
          <w:szCs w:val="20"/>
          <w:lang w:val="es-CL" w:eastAsia="es-CL"/>
        </w:rPr>
      </w:pPr>
      <w:r w:rsidRPr="002D2E3D">
        <w:rPr>
          <w:rFonts w:ascii="Verdana" w:hAnsi="Verdana"/>
          <w:bCs/>
          <w:sz w:val="20"/>
          <w:szCs w:val="20"/>
          <w:lang w:val="es-CL" w:eastAsia="es-CL"/>
        </w:rPr>
        <w:t xml:space="preserve">A partir de esta actividad puede reforzar la relevancia del trabajo con fuentes primarias, destacando que el conocimiento del pasado se construye de la interpretación crítica de diferentes evidencias. Destaque la importancia de problematizar las fuentes y utilizarlas como base para </w:t>
      </w:r>
      <w:bookmarkStart w:id="0" w:name="_GoBack"/>
      <w:bookmarkEnd w:id="0"/>
      <w:r w:rsidRPr="002D2E3D">
        <w:rPr>
          <w:rFonts w:ascii="Verdana" w:hAnsi="Verdana"/>
          <w:bCs/>
          <w:sz w:val="20"/>
          <w:szCs w:val="20"/>
          <w:lang w:val="es-CL" w:eastAsia="es-CL"/>
        </w:rPr>
        <w:t>responder preguntas históricas, trabajando de esta forma la actitud del OA E.</w:t>
      </w:r>
    </w:p>
    <w:p w:rsidR="002D2E3D" w:rsidRPr="002D2E3D" w:rsidRDefault="002D2E3D" w:rsidP="002D2E3D">
      <w:pPr>
        <w:pBdr>
          <w:top w:val="single" w:sz="4" w:space="1" w:color="auto"/>
          <w:left w:val="single" w:sz="4" w:space="4" w:color="auto"/>
          <w:bottom w:val="single" w:sz="4" w:space="1" w:color="auto"/>
          <w:right w:val="single" w:sz="4" w:space="4" w:color="auto"/>
        </w:pBdr>
        <w:shd w:val="clear" w:color="auto" w:fill="FFFFFF"/>
        <w:spacing w:after="120"/>
        <w:rPr>
          <w:rFonts w:ascii="Verdana" w:hAnsi="Verdana"/>
          <w:bCs/>
          <w:sz w:val="20"/>
          <w:szCs w:val="20"/>
          <w:lang w:val="es-CL" w:eastAsia="es-CL"/>
        </w:rPr>
      </w:pPr>
    </w:p>
    <w:p w:rsidR="002D2E3D" w:rsidRDefault="002D2E3D" w:rsidP="002D2E3D">
      <w:pPr>
        <w:shd w:val="clear" w:color="auto" w:fill="FFFFFF"/>
        <w:spacing w:after="120"/>
        <w:ind w:left="357"/>
        <w:rPr>
          <w:bCs/>
          <w:szCs w:val="18"/>
          <w:lang w:val="es-CL" w:eastAsia="es-CL"/>
        </w:rPr>
      </w:pPr>
    </w:p>
    <w:p w:rsidR="002D2E3D" w:rsidRDefault="002D2E3D" w:rsidP="002D2E3D">
      <w:pPr>
        <w:shd w:val="clear" w:color="auto" w:fill="FFFFFF"/>
        <w:spacing w:after="120"/>
        <w:ind w:left="357"/>
        <w:rPr>
          <w:bCs/>
          <w:szCs w:val="18"/>
          <w:lang w:val="es-CL" w:eastAsia="es-CL"/>
        </w:rPr>
      </w:pPr>
    </w:p>
    <w:p w:rsidR="002D2E3D" w:rsidRDefault="002D2E3D" w:rsidP="002D2E3D">
      <w:pPr>
        <w:shd w:val="clear" w:color="auto" w:fill="FFFFFF"/>
        <w:spacing w:after="120"/>
        <w:ind w:left="357"/>
        <w:rPr>
          <w:bCs/>
          <w:szCs w:val="18"/>
          <w:lang w:val="es-CL" w:eastAsia="es-CL"/>
        </w:rPr>
      </w:pPr>
    </w:p>
    <w:p w:rsidR="002D2E3D" w:rsidRDefault="002D2E3D" w:rsidP="002D2E3D">
      <w:pPr>
        <w:shd w:val="clear" w:color="auto" w:fill="FFFFFF"/>
        <w:spacing w:after="120"/>
        <w:ind w:left="357"/>
        <w:rPr>
          <w:bCs/>
          <w:szCs w:val="18"/>
          <w:lang w:val="es-CL" w:eastAsia="es-CL"/>
        </w:rPr>
      </w:pPr>
    </w:p>
    <w:p w:rsidR="002D2E3D" w:rsidRPr="00E233D8" w:rsidRDefault="002D2E3D" w:rsidP="009F00A6">
      <w:pPr>
        <w:autoSpaceDE w:val="0"/>
        <w:autoSpaceDN w:val="0"/>
        <w:adjustRightInd w:val="0"/>
        <w:rPr>
          <w:rFonts w:ascii="Verdana" w:hAnsi="Verdana"/>
          <w:color w:val="7CEDFC"/>
          <w:sz w:val="22"/>
          <w:szCs w:val="22"/>
        </w:rPr>
      </w:pPr>
    </w:p>
    <w:p w:rsidR="007D15C8" w:rsidRPr="00E233D8" w:rsidRDefault="007D15C8">
      <w:pPr>
        <w:rPr>
          <w:color w:val="7CEDFC"/>
          <w:sz w:val="20"/>
          <w:szCs w:val="20"/>
        </w:rPr>
      </w:pPr>
    </w:p>
    <w:sectPr w:rsidR="007D15C8" w:rsidRPr="00E233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E5F4C"/>
    <w:multiLevelType w:val="hybridMultilevel"/>
    <w:tmpl w:val="4A400530"/>
    <w:lvl w:ilvl="0" w:tplc="6156A79A">
      <w:start w:val="1"/>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D6"/>
    <w:rsid w:val="00250333"/>
    <w:rsid w:val="002A409E"/>
    <w:rsid w:val="002D2E3D"/>
    <w:rsid w:val="003432B3"/>
    <w:rsid w:val="005A274C"/>
    <w:rsid w:val="00601911"/>
    <w:rsid w:val="007D15C8"/>
    <w:rsid w:val="00932ED6"/>
    <w:rsid w:val="009F00A6"/>
    <w:rsid w:val="00E233D8"/>
    <w:rsid w:val="00FE4E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C65A"/>
  <w15:chartTrackingRefBased/>
  <w15:docId w15:val="{1F27E3BD-7D20-4373-8071-E3B4F3A8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9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 Godoy</cp:lastModifiedBy>
  <cp:revision>5</cp:revision>
  <dcterms:created xsi:type="dcterms:W3CDTF">2019-02-13T15:27:00Z</dcterms:created>
  <dcterms:modified xsi:type="dcterms:W3CDTF">2019-02-13T16:30:00Z</dcterms:modified>
</cp:coreProperties>
</file>